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E9A" w:rsidRPr="00446A08" w:rsidRDefault="001F7E9A" w:rsidP="001F7E9A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 xml:space="preserve">На основу Решења о банкротству Привредног суда у Новом Саду </w:t>
      </w:r>
      <w:r w:rsidR="00CA0DD0">
        <w:rPr>
          <w:rFonts w:ascii="Times New Roman" w:eastAsia="Times New Roman" w:hAnsi="Times New Roman"/>
          <w:sz w:val="24"/>
          <w:szCs w:val="24"/>
          <w:lang w:val="sr-Cyrl-RS"/>
        </w:rPr>
        <w:t>2</w:t>
      </w:r>
      <w:r w:rsidR="00CA0DD0" w:rsidRPr="00CA0DD0">
        <w:rPr>
          <w:rFonts w:ascii="Times New Roman" w:eastAsia="Times New Roman" w:hAnsi="Times New Roman"/>
          <w:sz w:val="24"/>
          <w:szCs w:val="24"/>
          <w:lang w:val="sr-Cyrl-RS"/>
        </w:rPr>
        <w:t>. Ст. 71/2021</w:t>
      </w:r>
      <w:r w:rsidRPr="00446A0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 xml:space="preserve">од </w:t>
      </w:r>
      <w:r w:rsidR="00CA0DD0">
        <w:rPr>
          <w:rFonts w:ascii="Times New Roman" w:eastAsia="Times New Roman" w:hAnsi="Times New Roman"/>
          <w:sz w:val="24"/>
          <w:szCs w:val="24"/>
          <w:lang w:val="sr-Cyrl-RS"/>
        </w:rPr>
        <w:t>10</w:t>
      </w:r>
      <w:r w:rsidRPr="00446A08">
        <w:rPr>
          <w:rFonts w:ascii="Times New Roman" w:eastAsia="Times New Roman" w:hAnsi="Times New Roman"/>
          <w:sz w:val="24"/>
          <w:szCs w:val="24"/>
        </w:rPr>
        <w:t>.</w:t>
      </w:r>
      <w:r w:rsidR="00CA0DD0">
        <w:rPr>
          <w:rFonts w:ascii="Times New Roman" w:eastAsia="Times New Roman" w:hAnsi="Times New Roman"/>
          <w:sz w:val="24"/>
          <w:szCs w:val="24"/>
          <w:lang w:val="sr-Cyrl-RS"/>
        </w:rPr>
        <w:t>01</w:t>
      </w:r>
      <w:r w:rsidRPr="00446A08">
        <w:rPr>
          <w:rFonts w:ascii="Times New Roman" w:eastAsia="Times New Roman" w:hAnsi="Times New Roman"/>
          <w:sz w:val="24"/>
          <w:szCs w:val="24"/>
        </w:rPr>
        <w:t>.202</w:t>
      </w:r>
      <w:r w:rsidR="00CA0DD0">
        <w:rPr>
          <w:rFonts w:ascii="Times New Roman" w:eastAsia="Times New Roman" w:hAnsi="Times New Roman"/>
          <w:sz w:val="24"/>
          <w:szCs w:val="24"/>
          <w:lang w:val="sr-Cyrl-RS"/>
        </w:rPr>
        <w:t>2</w:t>
      </w:r>
      <w:r w:rsidRPr="00446A08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године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 xml:space="preserve">које је правоснажно од дана </w:t>
      </w:r>
      <w:r w:rsidR="00CA0DD0">
        <w:rPr>
          <w:rFonts w:ascii="Times New Roman" w:eastAsia="Times New Roman" w:hAnsi="Times New Roman"/>
          <w:sz w:val="24"/>
          <w:szCs w:val="24"/>
          <w:lang w:val="sr-Cyrl-RS"/>
        </w:rPr>
        <w:t>29</w:t>
      </w:r>
      <w:r w:rsidRPr="00446A08">
        <w:rPr>
          <w:rFonts w:ascii="Times New Roman" w:eastAsia="Times New Roman" w:hAnsi="Times New Roman"/>
          <w:sz w:val="24"/>
          <w:szCs w:val="24"/>
        </w:rPr>
        <w:t>.0</w:t>
      </w:r>
      <w:r w:rsidR="00CA0DD0">
        <w:rPr>
          <w:rFonts w:ascii="Times New Roman" w:eastAsia="Times New Roman" w:hAnsi="Times New Roman"/>
          <w:sz w:val="24"/>
          <w:szCs w:val="24"/>
          <w:lang w:val="sr-Cyrl-RS"/>
        </w:rPr>
        <w:t>6</w:t>
      </w:r>
      <w:r w:rsidRPr="00446A08">
        <w:rPr>
          <w:rFonts w:ascii="Times New Roman" w:eastAsia="Times New Roman" w:hAnsi="Times New Roman"/>
          <w:sz w:val="24"/>
          <w:szCs w:val="24"/>
        </w:rPr>
        <w:t>.202</w:t>
      </w:r>
      <w:r w:rsidR="00CA0DD0">
        <w:rPr>
          <w:rFonts w:ascii="Times New Roman" w:eastAsia="Times New Roman" w:hAnsi="Times New Roman"/>
          <w:sz w:val="24"/>
          <w:szCs w:val="24"/>
          <w:lang w:val="sr-Cyrl-RS"/>
        </w:rPr>
        <w:t>2</w:t>
      </w:r>
      <w:r w:rsidRPr="00446A08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године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и у складу са члановима</w:t>
      </w:r>
      <w:r w:rsidRPr="00446A08"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 xml:space="preserve">132. и 133.  </w:t>
      </w:r>
      <w:r w:rsidRPr="00446A08">
        <w:rPr>
          <w:rFonts w:ascii="Times New Roman" w:eastAsia="Times New Roman" w:hAnsi="Times New Roman"/>
          <w:sz w:val="24"/>
          <w:szCs w:val="24"/>
          <w:lang w:val="sr-Latn-CS"/>
        </w:rPr>
        <w:t>Закона о стеча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ју</w:t>
      </w:r>
      <w:r w:rsidRPr="00446A08">
        <w:rPr>
          <w:rFonts w:ascii="Times New Roman" w:eastAsia="Times New Roman" w:hAnsi="Times New Roman"/>
          <w:sz w:val="24"/>
          <w:szCs w:val="24"/>
          <w:lang w:val="sr-Latn-CS"/>
        </w:rPr>
        <w:t xml:space="preserve"> („Сл.Гласник РС“ бр.104/2009, 99/2011-др. Закон, 71/2012-одлука УС, 83/2014, 113/2017, 44/2018 и 95/2018) и Национални стандард број 5 – поглавље III Националног стандарда о начину и поступку уновчењу имовине стечајног дужника („Сл.Гласник РС“ бр.62/2018)</w:t>
      </w:r>
      <w:r w:rsidRPr="00446A08">
        <w:rPr>
          <w:rFonts w:ascii="Times New Roman" w:eastAsia="Times New Roman" w:hAnsi="Times New Roman"/>
          <w:sz w:val="24"/>
          <w:szCs w:val="24"/>
        </w:rPr>
        <w:t xml:space="preserve">, 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стечајни управник стечајног дужника</w:t>
      </w:r>
    </w:p>
    <w:p w:rsidR="001F7E9A" w:rsidRPr="00446A08" w:rsidRDefault="001F7E9A" w:rsidP="001F7E9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</w:p>
    <w:p w:rsidR="001F7E9A" w:rsidRPr="00446A08" w:rsidRDefault="00CA0DD0" w:rsidP="001F7E9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sr-Latn-CS" w:bidi="en-US"/>
        </w:rPr>
      </w:pPr>
      <w:r w:rsidRPr="00CA0DD0">
        <w:rPr>
          <w:rFonts w:ascii="Times New Roman" w:hAnsi="Times New Roman"/>
          <w:b/>
          <w:sz w:val="24"/>
          <w:szCs w:val="24"/>
          <w:lang w:val="sr-Cyrl-RS" w:bidi="en-US"/>
        </w:rPr>
        <w:t>МИЛОШ И НЕИМАРИ</w:t>
      </w:r>
      <w:r w:rsidRPr="00CA0DD0">
        <w:rPr>
          <w:rFonts w:ascii="Times New Roman" w:hAnsi="Times New Roman"/>
          <w:b/>
          <w:sz w:val="24"/>
          <w:szCs w:val="24"/>
          <w:lang w:val="sr-Cyrl-BA" w:bidi="en-US"/>
        </w:rPr>
        <w:t xml:space="preserve"> ДОО</w:t>
      </w:r>
      <w:r w:rsidRPr="00CA0DD0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r w:rsidRPr="00CA0DD0">
        <w:rPr>
          <w:rFonts w:ascii="Times New Roman" w:hAnsi="Times New Roman"/>
          <w:b/>
          <w:sz w:val="24"/>
          <w:szCs w:val="24"/>
          <w:lang w:val="sr-Cyrl-RS" w:bidi="en-US"/>
        </w:rPr>
        <w:t>Нови Сад</w:t>
      </w:r>
      <w:r w:rsidRPr="00CA0DD0">
        <w:rPr>
          <w:rFonts w:ascii="Times New Roman" w:hAnsi="Times New Roman"/>
          <w:b/>
          <w:sz w:val="24"/>
          <w:szCs w:val="24"/>
          <w:lang w:val="sr-Cyrl-BA" w:bidi="en-US"/>
        </w:rPr>
        <w:t xml:space="preserve"> – у стечају</w:t>
      </w:r>
      <w:r w:rsidR="001F7E9A" w:rsidRPr="00446A08">
        <w:rPr>
          <w:rFonts w:ascii="Times New Roman" w:hAnsi="Times New Roman"/>
          <w:b/>
          <w:sz w:val="24"/>
          <w:szCs w:val="24"/>
          <w:lang w:val="sr-Latn-CS" w:bidi="en-US"/>
        </w:rPr>
        <w:t xml:space="preserve"> ул. </w:t>
      </w:r>
      <w:r w:rsidRPr="00CA0DD0">
        <w:rPr>
          <w:rFonts w:ascii="Times New Roman" w:hAnsi="Times New Roman"/>
          <w:b/>
          <w:sz w:val="24"/>
          <w:szCs w:val="24"/>
          <w:lang w:val="sr-Latn-CS" w:bidi="en-US"/>
        </w:rPr>
        <w:t>Булевар Патријарха Павла 36</w:t>
      </w:r>
    </w:p>
    <w:p w:rsidR="001F7E9A" w:rsidRPr="00446A08" w:rsidRDefault="001F7E9A" w:rsidP="001F7E9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sr-Cyrl-RS" w:bidi="en-US"/>
        </w:rPr>
      </w:pPr>
      <w:r w:rsidRPr="00446A08">
        <w:rPr>
          <w:rFonts w:ascii="Times New Roman" w:hAnsi="Times New Roman"/>
          <w:b/>
          <w:sz w:val="24"/>
          <w:szCs w:val="24"/>
          <w:lang w:val="sr-Cyrl-CS"/>
        </w:rPr>
        <w:t>ОГЛАШАВА</w:t>
      </w:r>
    </w:p>
    <w:p w:rsidR="001F7E9A" w:rsidRPr="00446A08" w:rsidRDefault="001F7E9A" w:rsidP="001F7E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446A08">
        <w:rPr>
          <w:rFonts w:ascii="Times New Roman" w:hAnsi="Times New Roman"/>
          <w:b/>
          <w:sz w:val="24"/>
          <w:szCs w:val="24"/>
          <w:lang w:val="sr-Cyrl-CS"/>
        </w:rPr>
        <w:t xml:space="preserve">продају </w:t>
      </w:r>
      <w:r w:rsidR="00CA0DD0">
        <w:rPr>
          <w:rFonts w:ascii="Times New Roman" w:hAnsi="Times New Roman"/>
          <w:b/>
          <w:sz w:val="24"/>
          <w:szCs w:val="24"/>
          <w:lang w:val="sr-Cyrl-CS"/>
        </w:rPr>
        <w:t xml:space="preserve">седам </w:t>
      </w:r>
      <w:r w:rsidRPr="00446A08">
        <w:rPr>
          <w:rFonts w:ascii="Times New Roman" w:hAnsi="Times New Roman"/>
          <w:b/>
          <w:sz w:val="24"/>
          <w:szCs w:val="24"/>
          <w:lang w:val="sr-Cyrl-CS"/>
        </w:rPr>
        <w:t>имовинск</w:t>
      </w:r>
      <w:r w:rsidR="00CA0DD0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Pr="00446A08">
        <w:rPr>
          <w:rFonts w:ascii="Times New Roman" w:hAnsi="Times New Roman"/>
          <w:b/>
          <w:sz w:val="24"/>
          <w:szCs w:val="24"/>
          <w:lang w:val="sr-Cyrl-CS"/>
        </w:rPr>
        <w:t xml:space="preserve"> целин</w:t>
      </w:r>
      <w:r w:rsidRPr="00446A08">
        <w:rPr>
          <w:rFonts w:ascii="Times New Roman" w:hAnsi="Times New Roman"/>
          <w:b/>
          <w:sz w:val="24"/>
          <w:szCs w:val="24"/>
        </w:rPr>
        <w:t xml:space="preserve">a </w:t>
      </w:r>
      <w:r w:rsidRPr="00446A08">
        <w:rPr>
          <w:rFonts w:ascii="Times New Roman" w:hAnsi="Times New Roman"/>
          <w:b/>
          <w:sz w:val="24"/>
          <w:szCs w:val="24"/>
          <w:lang w:val="sr-Cyrl-CS"/>
        </w:rPr>
        <w:t>стечајног дужника</w:t>
      </w:r>
      <w:r w:rsidRPr="00446A08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:rsidR="00524536" w:rsidRDefault="001F7E9A" w:rsidP="00527C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446A08">
        <w:rPr>
          <w:rFonts w:ascii="Times New Roman" w:hAnsi="Times New Roman"/>
          <w:b/>
          <w:sz w:val="24"/>
          <w:szCs w:val="24"/>
          <w:lang w:val="sr-Cyrl-CS"/>
        </w:rPr>
        <w:t>методом јавног пркупљања понуда</w:t>
      </w:r>
    </w:p>
    <w:p w:rsidR="00CA0DD0" w:rsidRPr="00446A08" w:rsidRDefault="00CA0DD0" w:rsidP="00527C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W w:w="1105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8"/>
        <w:gridCol w:w="1418"/>
        <w:gridCol w:w="1393"/>
        <w:gridCol w:w="495"/>
      </w:tblGrid>
      <w:tr w:rsidR="00065FFB" w:rsidRPr="00065FFB" w:rsidTr="006013D2">
        <w:trPr>
          <w:trHeight w:val="434"/>
          <w:jc w:val="center"/>
        </w:trPr>
        <w:tc>
          <w:tcPr>
            <w:tcW w:w="7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5FFB" w:rsidRPr="00065FFB" w:rsidRDefault="00065FFB" w:rsidP="00065F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CS" w:eastAsia="ar-SA"/>
              </w:rPr>
            </w:pPr>
          </w:p>
          <w:p w:rsidR="00065FFB" w:rsidRPr="00065FFB" w:rsidRDefault="00065FFB" w:rsidP="00065F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CS" w:eastAsia="ar-SA"/>
              </w:rPr>
            </w:pPr>
            <w:r w:rsidRPr="00065FFB">
              <w:rPr>
                <w:rFonts w:ascii="Times New Roman" w:eastAsia="Times New Roman" w:hAnsi="Times New Roman"/>
                <w:b/>
                <w:lang w:val="sr-Cyrl-CS" w:eastAsia="ar-SA"/>
              </w:rPr>
              <w:t>Имовина</w:t>
            </w:r>
          </w:p>
          <w:p w:rsidR="00065FFB" w:rsidRPr="00065FFB" w:rsidRDefault="00065FFB" w:rsidP="00065F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5FFB" w:rsidRPr="00065FFB" w:rsidRDefault="00065FFB" w:rsidP="00065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 w:eastAsia="ar-SA"/>
              </w:rPr>
            </w:pPr>
            <w:r w:rsidRPr="00065FFB">
              <w:rPr>
                <w:rFonts w:ascii="Times New Roman" w:eastAsia="Times New Roman" w:hAnsi="Times New Roman"/>
                <w:b/>
                <w:bCs/>
                <w:lang w:val="sr-Cyrl-CS" w:eastAsia="ar-SA"/>
              </w:rPr>
              <w:t xml:space="preserve">Процењена </w:t>
            </w:r>
          </w:p>
          <w:p w:rsidR="00065FFB" w:rsidRPr="00065FFB" w:rsidRDefault="00065FFB" w:rsidP="00065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 w:eastAsia="ar-SA"/>
              </w:rPr>
            </w:pPr>
            <w:r w:rsidRPr="00065FFB">
              <w:rPr>
                <w:rFonts w:ascii="Times New Roman" w:eastAsia="Times New Roman" w:hAnsi="Times New Roman"/>
                <w:b/>
                <w:bCs/>
                <w:lang w:val="sr-Cyrl-CS" w:eastAsia="ar-SA"/>
              </w:rPr>
              <w:t>вредност</w:t>
            </w:r>
          </w:p>
          <w:p w:rsidR="00065FFB" w:rsidRPr="00065FFB" w:rsidRDefault="00065FFB" w:rsidP="00065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 w:eastAsia="ar-SA"/>
              </w:rPr>
            </w:pPr>
            <w:r w:rsidRPr="00065FFB">
              <w:rPr>
                <w:rFonts w:ascii="Times New Roman" w:eastAsia="Times New Roman" w:hAnsi="Times New Roman"/>
                <w:b/>
                <w:lang w:val="sr-Cyrl-RS" w:eastAsia="ar-SA"/>
              </w:rPr>
              <w:t>(</w:t>
            </w:r>
            <w:r w:rsidRPr="00065FFB">
              <w:rPr>
                <w:rFonts w:ascii="Times New Roman" w:eastAsia="Times New Roman" w:hAnsi="Times New Roman"/>
                <w:b/>
                <w:lang w:val="sr-Cyrl-CS" w:eastAsia="ar-SA"/>
              </w:rPr>
              <w:t>РСД)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5FFB" w:rsidRPr="00065FFB" w:rsidRDefault="00065FFB" w:rsidP="00065F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CS" w:eastAsia="ar-SA"/>
              </w:rPr>
            </w:pPr>
            <w:r w:rsidRPr="00065FFB">
              <w:rPr>
                <w:rFonts w:ascii="Times New Roman" w:eastAsia="Times New Roman" w:hAnsi="Times New Roman"/>
                <w:b/>
                <w:lang w:val="sr-Cyrl-RS" w:eastAsia="ar-SA"/>
              </w:rPr>
              <w:t>Депозит</w:t>
            </w:r>
            <w:r w:rsidRPr="00065FFB">
              <w:rPr>
                <w:rFonts w:ascii="Times New Roman" w:eastAsia="Times New Roman" w:hAnsi="Times New Roman"/>
                <w:b/>
                <w:lang w:val="sr-Cyrl-CS" w:eastAsia="ar-SA"/>
              </w:rPr>
              <w:t xml:space="preserve"> </w:t>
            </w:r>
            <w:r w:rsidRPr="00065FFB">
              <w:rPr>
                <w:rFonts w:ascii="Times New Roman" w:eastAsia="Times New Roman" w:hAnsi="Times New Roman"/>
                <w:b/>
                <w:lang w:val="sr-Latn-CS" w:eastAsia="ar-SA"/>
              </w:rPr>
              <w:t xml:space="preserve">     </w:t>
            </w:r>
            <w:r w:rsidRPr="00065FFB">
              <w:rPr>
                <w:rFonts w:ascii="Times New Roman" w:eastAsia="Times New Roman" w:hAnsi="Times New Roman"/>
                <w:b/>
                <w:lang w:val="sr-Cyrl-RS" w:eastAsia="ar-SA"/>
              </w:rPr>
              <w:t>(</w:t>
            </w:r>
            <w:r w:rsidRPr="00065FFB">
              <w:rPr>
                <w:rFonts w:ascii="Times New Roman" w:eastAsia="Times New Roman" w:hAnsi="Times New Roman"/>
                <w:b/>
                <w:lang w:val="sr-Cyrl-CS" w:eastAsia="ar-SA"/>
              </w:rPr>
              <w:t>РСД)</w:t>
            </w:r>
          </w:p>
        </w:tc>
        <w:tc>
          <w:tcPr>
            <w:tcW w:w="495" w:type="dxa"/>
            <w:tcBorders>
              <w:left w:val="single" w:sz="4" w:space="0" w:color="000000"/>
            </w:tcBorders>
          </w:tcPr>
          <w:p w:rsidR="00065FFB" w:rsidRPr="00065FFB" w:rsidRDefault="00065FFB" w:rsidP="00065F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65FFB" w:rsidRPr="00065FFB" w:rsidTr="006013D2">
        <w:trPr>
          <w:trHeight w:val="1134"/>
          <w:jc w:val="center"/>
        </w:trPr>
        <w:tc>
          <w:tcPr>
            <w:tcW w:w="7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5FFB" w:rsidRDefault="00065FFB" w:rsidP="00065FFB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65FF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Целина 1</w:t>
            </w:r>
            <w:r w:rsidR="00C73A3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:</w:t>
            </w:r>
          </w:p>
          <w:p w:rsidR="00065FFB" w:rsidRDefault="00626053" w:rsidP="00065FFB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- </w:t>
            </w:r>
            <w:r w:rsidRPr="00626053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Породична стамбена зграда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1865F8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површине 168м</w:t>
            </w:r>
            <w:r w:rsidR="001865F8" w:rsidRPr="001865F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="001865F8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у Шишатовцу, Планинска бр. 30А, изграђена на парцели </w:t>
            </w:r>
            <w:r w:rsidRPr="00626053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1786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КО Лежимир, ЛН </w:t>
            </w:r>
            <w:r w:rsidRPr="00626053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1356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r w:rsidRPr="00626053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врста права: својина, облик својине: приватна, обим удела: 1/1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;</w:t>
            </w:r>
          </w:p>
          <w:p w:rsidR="00626053" w:rsidRDefault="00626053" w:rsidP="001865F8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- </w:t>
            </w:r>
            <w:r w:rsidR="001865F8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Парцела бр. </w:t>
            </w:r>
            <w:r w:rsidR="001865F8" w:rsidRPr="001865F8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1782/2</w:t>
            </w:r>
            <w:r w:rsidR="001865F8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површине </w:t>
            </w:r>
            <w:r w:rsidR="001865F8" w:rsidRPr="001865F8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247м</w:t>
            </w:r>
            <w:r w:rsidR="001865F8" w:rsidRPr="001865F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="001865F8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,</w:t>
            </w:r>
            <w:r w:rsidR="001865F8">
              <w:t xml:space="preserve"> </w:t>
            </w:r>
            <w:r w:rsidR="001865F8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пољопривредно земљиште, воћњак 4. класе, </w:t>
            </w:r>
            <w:r w:rsidR="001865F8" w:rsidRPr="001865F8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КО Лежимир, ЛН 1356, врста права: својина, облик својине: приватна, обим удела: 1/1</w:t>
            </w:r>
            <w:r w:rsidR="001865F8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;</w:t>
            </w:r>
          </w:p>
          <w:p w:rsidR="001865F8" w:rsidRDefault="001865F8" w:rsidP="001865F8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865F8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- Парцела бр. 1784/2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1865F8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површине 1.734м</w:t>
            </w:r>
            <w:r w:rsidRPr="001865F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1865F8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, пољопривредно земљиште, воћњак 4. класе, КО Лежимир, ЛН 1356, врста права: својина, облик својине: приватна, обим удела: 1/1;</w:t>
            </w:r>
          </w:p>
          <w:p w:rsidR="00C73A3B" w:rsidRDefault="00C73A3B" w:rsidP="00C73A3B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C73A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- Парцела бр. 178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6</w:t>
            </w:r>
            <w:r w:rsidRPr="00C73A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површине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99</w:t>
            </w:r>
            <w:r w:rsidRPr="00C73A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м</w:t>
            </w:r>
            <w:r w:rsidRPr="00C73A3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C73A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пољопривредно земљиште,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земљиште под зградом</w:t>
            </w:r>
            <w:r w:rsidRPr="00C73A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, КО Лежимир, ЛН 1356, врста права: својина, облик својине: приватна, обим удела: 1/1;</w:t>
            </w:r>
          </w:p>
          <w:p w:rsidR="00C73A3B" w:rsidRPr="00065FFB" w:rsidRDefault="00C73A3B" w:rsidP="00C73A3B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C73A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- Парцела бр. 178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6</w:t>
            </w:r>
            <w:r w:rsidRPr="00C73A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површине 3.454м</w:t>
            </w:r>
            <w:r w:rsidRPr="00C73A3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C73A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, пољопривредно земљиште, воћњак 4. класе, КО Лежимир, ЛН 1356, врста права: својина, облик својине: приватна, обим удела: 1/1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5FFB" w:rsidRPr="00065FFB" w:rsidRDefault="00C73A3B" w:rsidP="00065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lang w:val="sr-Cyrl-RS" w:eastAsia="ar-SA"/>
              </w:rPr>
            </w:pPr>
            <w:r w:rsidRPr="00C73A3B">
              <w:rPr>
                <w:rFonts w:ascii="Times New Roman" w:eastAsia="Times New Roman" w:hAnsi="Times New Roman"/>
                <w:b/>
                <w:noProof/>
                <w:color w:val="000000"/>
                <w:lang w:val="sr-Cyrl-RS"/>
              </w:rPr>
              <w:t>10.254.055,00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5FFB" w:rsidRPr="00065FFB" w:rsidRDefault="00C73A3B" w:rsidP="00065FFB">
            <w:pPr>
              <w:tabs>
                <w:tab w:val="left" w:pos="1495"/>
              </w:tabs>
              <w:suppressAutoHyphens/>
              <w:spacing w:after="0" w:line="240" w:lineRule="auto"/>
              <w:ind w:right="117"/>
              <w:jc w:val="right"/>
              <w:rPr>
                <w:rFonts w:ascii="Times New Roman" w:eastAsia="Times New Roman" w:hAnsi="Times New Roman"/>
                <w:b/>
                <w:lang w:val="sr-Cyrl-RS" w:eastAsia="ar-SA"/>
              </w:rPr>
            </w:pPr>
            <w:r w:rsidRPr="00C73A3B">
              <w:rPr>
                <w:rFonts w:ascii="Times New Roman" w:eastAsia="Times New Roman" w:hAnsi="Times New Roman"/>
                <w:b/>
                <w:bCs/>
                <w:lang w:val="sr-Cyrl-RS"/>
              </w:rPr>
              <w:t>2.050.811,00</w:t>
            </w:r>
          </w:p>
        </w:tc>
        <w:tc>
          <w:tcPr>
            <w:tcW w:w="495" w:type="dxa"/>
            <w:tcBorders>
              <w:left w:val="single" w:sz="4" w:space="0" w:color="000000"/>
            </w:tcBorders>
          </w:tcPr>
          <w:p w:rsidR="00065FFB" w:rsidRPr="00065FFB" w:rsidRDefault="00065FFB" w:rsidP="00065F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 w:eastAsia="ar-SA"/>
              </w:rPr>
            </w:pPr>
          </w:p>
        </w:tc>
      </w:tr>
      <w:tr w:rsidR="00C73A3B" w:rsidRPr="00065FFB" w:rsidTr="006013D2">
        <w:trPr>
          <w:trHeight w:val="1134"/>
          <w:jc w:val="center"/>
        </w:trPr>
        <w:tc>
          <w:tcPr>
            <w:tcW w:w="7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3A3B" w:rsidRDefault="00C73A3B" w:rsidP="00065FFB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Целина 2:</w:t>
            </w:r>
          </w:p>
          <w:p w:rsidR="00E91F96" w:rsidRDefault="00260BD7" w:rsidP="00065FFB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- </w:t>
            </w:r>
            <w:r w:rsidRPr="00626053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Породична стамбена зграда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бр. 1 површине </w:t>
            </w:r>
            <w:r w:rsidRPr="00260BD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96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м</w:t>
            </w:r>
            <w:r w:rsidRPr="001865F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sr-Cyrl-R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у Петроварадину, Прерадовићева бр. 84А, изграђена на парцели </w:t>
            </w:r>
            <w:r w:rsidRPr="00260BD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1722/1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КО Петроварадин, ЛН </w:t>
            </w:r>
            <w:r w:rsidRPr="00260BD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7392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r w:rsidRPr="00626053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врста права: својина, облик својине: приватна, обим удела: 1/1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;</w:t>
            </w:r>
            <w:r w:rsidR="00E91F96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</w:p>
          <w:p w:rsidR="00C73A3B" w:rsidRDefault="00260BD7" w:rsidP="00260BD7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0BD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- Парцела бр. 1722/1 површине 9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6</w:t>
            </w:r>
            <w:r w:rsidRPr="00260BD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м</w:t>
            </w:r>
            <w:r w:rsidRPr="00260BD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260BD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градско грађевинско земљиште</w:t>
            </w:r>
            <w:r w:rsidRPr="00260BD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, земљиште под зградом, КО Петроварадин, ЛН 7392, врста права: својина, облик својине: приватна, обим удела: 1/1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;</w:t>
            </w:r>
          </w:p>
          <w:p w:rsidR="00260BD7" w:rsidRDefault="00260BD7" w:rsidP="00260BD7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0BD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- Парцела бр. 1722/1 површине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38</w:t>
            </w:r>
            <w:r w:rsidRPr="00260BD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м</w:t>
            </w:r>
            <w:r w:rsidRPr="00260BD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260BD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, градско грађевинско земљиште, земљиште под зградом, КО Петроварадин, ЛН 7392, врста права: својина, облик својине: приватна, обим удела: 1/1;</w:t>
            </w:r>
          </w:p>
          <w:p w:rsidR="00260BD7" w:rsidRDefault="00D23A83" w:rsidP="00D23A83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D23A83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- Парцела бр. 1722/1 површине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20</w:t>
            </w:r>
            <w:r w:rsidRPr="00D23A83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м</w:t>
            </w:r>
            <w:r w:rsidRPr="00D23A83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D23A83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, градско грађевинско земљиште, земљиште под зградом, КО Петроварадин, ЛН 7392, врста права: својина, облик својине: приватна, обим удела: 1/1;</w:t>
            </w:r>
          </w:p>
          <w:p w:rsidR="00D23A83" w:rsidRDefault="00D23A83" w:rsidP="00D23A83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D23A83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- Парцела бр. 1722/1 површине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7</w:t>
            </w:r>
            <w:r w:rsidRPr="00D23A83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м</w:t>
            </w:r>
            <w:r w:rsidRPr="00D23A83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D23A83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, градско грађевинско земљиште, земљиште под зградом, КО Петроварадин, ЛН 7392, врста права: својина, облик својине: приватна, обим удела: 1/1;</w:t>
            </w:r>
          </w:p>
          <w:p w:rsidR="00D23A83" w:rsidRDefault="00D23A83" w:rsidP="00D23A83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D23A83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- Парцела бр. 1722/1 површине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559</w:t>
            </w:r>
            <w:r w:rsidRPr="00D23A83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м</w:t>
            </w:r>
            <w:r w:rsidRPr="00D23A83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D23A83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градско грађевинско земљиште, земљиште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уз</w:t>
            </w:r>
            <w:r w:rsidRPr="00D23A83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зград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у</w:t>
            </w:r>
            <w:r w:rsidRPr="00D23A83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, КО Петроварадин, ЛН 7392, врста права: својина, облик својине: приватна, обим удела: 1/1;</w:t>
            </w:r>
          </w:p>
          <w:p w:rsidR="00AE6E59" w:rsidRDefault="00AE6E59" w:rsidP="00D23A83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AE6E59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lastRenderedPageBreak/>
              <w:t>- Парцела бр. 1722/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</w:t>
            </w:r>
            <w:r w:rsidRPr="00AE6E59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површине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16</w:t>
            </w:r>
            <w:r w:rsidRPr="00AE6E59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0м</w:t>
            </w:r>
            <w:r w:rsidRPr="00AE6E5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AE6E59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, градско грађевинско земљиште, земљиште под зградом, КО Петроварадин, ЛН 7392, врста права: својина, облик својине: приватна, обим удела: 1/1;</w:t>
            </w:r>
          </w:p>
          <w:p w:rsidR="00D23A83" w:rsidRDefault="00AE6E59" w:rsidP="00AE6E59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AE6E59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- Парцела бр. 1722/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</w:t>
            </w:r>
            <w:r w:rsidRPr="00AE6E59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површине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135</w:t>
            </w:r>
            <w:r w:rsidRPr="00AE6E59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м</w:t>
            </w:r>
            <w:r w:rsidRPr="00AE6E5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AE6E59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, градско грађевинско земљиште, земљиште под зградом, КО Петроварадин, ЛН 7392, врста права: својина, облик својине: приватна, обим удела: 1/1;</w:t>
            </w:r>
          </w:p>
          <w:p w:rsidR="00AE6E59" w:rsidRPr="00C73A3B" w:rsidRDefault="00AE6E59" w:rsidP="00AE6E59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AE6E59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- Парцела бр. 1722/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</w:t>
            </w:r>
            <w:r w:rsidRPr="00AE6E59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површине 5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70</w:t>
            </w:r>
            <w:r w:rsidRPr="00AE6E59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м</w:t>
            </w:r>
            <w:r w:rsidRPr="00AE6E5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AE6E59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, градско грађевинско земљиште, земљиште уз зграду, КО Петроварадин, ЛН 7392, врста права: својина, облик сво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јине: приватна, обим удела: 1/1.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3A3B" w:rsidRPr="00AE6E59" w:rsidRDefault="00AE6E59" w:rsidP="00065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lang w:val="sr-Cyrl-RS"/>
              </w:rPr>
            </w:pPr>
            <w:r w:rsidRPr="00AE6E59">
              <w:rPr>
                <w:rFonts w:ascii="Times New Roman" w:eastAsia="Times New Roman" w:hAnsi="Times New Roman"/>
                <w:b/>
                <w:noProof/>
                <w:color w:val="000000"/>
                <w:lang w:val="sr-Cyrl-RS"/>
              </w:rPr>
              <w:lastRenderedPageBreak/>
              <w:t>79.870.299,26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3A3B" w:rsidRPr="00AE6E59" w:rsidRDefault="00AE6E59" w:rsidP="00065FFB">
            <w:pPr>
              <w:tabs>
                <w:tab w:val="left" w:pos="1495"/>
              </w:tabs>
              <w:suppressAutoHyphens/>
              <w:spacing w:after="0" w:line="240" w:lineRule="auto"/>
              <w:ind w:right="117"/>
              <w:jc w:val="right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E6E59">
              <w:rPr>
                <w:rFonts w:ascii="Times New Roman" w:eastAsia="Times New Roman" w:hAnsi="Times New Roman"/>
                <w:b/>
                <w:bCs/>
                <w:lang w:val="sr-Cyrl-RS"/>
              </w:rPr>
              <w:t>15.974.059,85</w:t>
            </w:r>
          </w:p>
        </w:tc>
        <w:tc>
          <w:tcPr>
            <w:tcW w:w="495" w:type="dxa"/>
            <w:tcBorders>
              <w:left w:val="single" w:sz="4" w:space="0" w:color="000000"/>
            </w:tcBorders>
          </w:tcPr>
          <w:p w:rsidR="00C73A3B" w:rsidRPr="00065FFB" w:rsidRDefault="00C73A3B" w:rsidP="00065F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 w:eastAsia="ar-SA"/>
              </w:rPr>
            </w:pPr>
          </w:p>
        </w:tc>
      </w:tr>
      <w:tr w:rsidR="00AE6E59" w:rsidRPr="00065FFB" w:rsidTr="006013D2">
        <w:trPr>
          <w:trHeight w:val="1134"/>
          <w:jc w:val="center"/>
        </w:trPr>
        <w:tc>
          <w:tcPr>
            <w:tcW w:w="7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E59" w:rsidRDefault="00AE6E59" w:rsidP="00065FFB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lastRenderedPageBreak/>
              <w:t>Целина 3:</w:t>
            </w:r>
          </w:p>
          <w:p w:rsidR="00AE6E59" w:rsidRDefault="009E59BB" w:rsidP="009E59BB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E59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- Породична стамбена зграда бр. 1 површине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12</w:t>
            </w:r>
            <w:r w:rsidRPr="009E59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6м</w:t>
            </w:r>
            <w:r w:rsidRPr="009E59B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9E59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у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Ветернику</w:t>
            </w:r>
            <w:r w:rsidRPr="009E59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Бегечка</w:t>
            </w:r>
            <w:r w:rsidRPr="009E59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бр.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12</w:t>
            </w:r>
            <w:r w:rsidRPr="009E59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, изграђена на парцели 3844/22, КО Ветерник, ЛН 6779, врста права: својина, облик својине: приватна, обим удела: 1/1;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Објекат бруто површине 438м</w:t>
            </w:r>
            <w:r w:rsidRPr="009E59B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sr-Cyrl-R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је у изградњи и без дозволе за изградњу;</w:t>
            </w:r>
          </w:p>
          <w:p w:rsidR="009E59BB" w:rsidRDefault="00CC460F" w:rsidP="00CC460F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CC460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- Парцела бр. 3844/22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CC460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површине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26</w:t>
            </w:r>
            <w:r w:rsidRPr="00CC460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м</w:t>
            </w:r>
            <w:r w:rsidRPr="00CC46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CC460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, земљиште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у</w:t>
            </w:r>
            <w:r w:rsidRPr="00CC460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грађевинско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м реону</w:t>
            </w:r>
            <w:r w:rsidRPr="00CC460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, земљиште под зградом, КО Ветерник, ЛН 6779, врста права: својина, облик својине: приватна, обим удела: 1/1;</w:t>
            </w:r>
          </w:p>
          <w:p w:rsidR="00CC460F" w:rsidRPr="00AE6E59" w:rsidRDefault="00CC460F" w:rsidP="00CC460F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CC460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- Парцела бр. 3844/22 површине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527</w:t>
            </w:r>
            <w:r w:rsidRPr="00CC460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м</w:t>
            </w:r>
            <w:r w:rsidRPr="00CC46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CC460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земљиште у грађевинском реону, земљиште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уз</w:t>
            </w:r>
            <w:r w:rsidRPr="00CC460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зград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у</w:t>
            </w:r>
            <w:r w:rsidRPr="00CC460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, КО Ветерник, ЛН 6779, врста права: својина, облик својине: приватна, обим удела: 1/1;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E59" w:rsidRPr="00AE6E59" w:rsidRDefault="00CC460F" w:rsidP="00065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lang w:val="sr-Cyrl-RS"/>
              </w:rPr>
            </w:pPr>
            <w:r w:rsidRPr="00CC460F">
              <w:rPr>
                <w:rFonts w:ascii="Times New Roman" w:eastAsia="Times New Roman" w:hAnsi="Times New Roman"/>
                <w:b/>
                <w:noProof/>
                <w:color w:val="000000"/>
                <w:lang w:val="sr-Cyrl-RS"/>
              </w:rPr>
              <w:t>38.145.084,60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E59" w:rsidRPr="00AE6E59" w:rsidRDefault="00CC460F" w:rsidP="00065FFB">
            <w:pPr>
              <w:tabs>
                <w:tab w:val="left" w:pos="1495"/>
              </w:tabs>
              <w:suppressAutoHyphens/>
              <w:spacing w:after="0" w:line="240" w:lineRule="auto"/>
              <w:ind w:right="117"/>
              <w:jc w:val="right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CC460F">
              <w:rPr>
                <w:rFonts w:ascii="Times New Roman" w:eastAsia="Times New Roman" w:hAnsi="Times New Roman"/>
                <w:b/>
                <w:bCs/>
                <w:lang w:val="sr-Cyrl-RS"/>
              </w:rPr>
              <w:t>7.629.016,92</w:t>
            </w:r>
          </w:p>
        </w:tc>
        <w:tc>
          <w:tcPr>
            <w:tcW w:w="495" w:type="dxa"/>
            <w:tcBorders>
              <w:left w:val="single" w:sz="4" w:space="0" w:color="000000"/>
            </w:tcBorders>
          </w:tcPr>
          <w:p w:rsidR="00AE6E59" w:rsidRPr="00065FFB" w:rsidRDefault="00AE6E59" w:rsidP="00065F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 w:eastAsia="ar-SA"/>
              </w:rPr>
            </w:pPr>
          </w:p>
        </w:tc>
      </w:tr>
      <w:tr w:rsidR="00CC460F" w:rsidRPr="00065FFB" w:rsidTr="006013D2">
        <w:trPr>
          <w:trHeight w:val="1134"/>
          <w:jc w:val="center"/>
        </w:trPr>
        <w:tc>
          <w:tcPr>
            <w:tcW w:w="7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60F" w:rsidRDefault="00CC460F" w:rsidP="00065FFB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Целина 4:</w:t>
            </w:r>
          </w:p>
          <w:p w:rsidR="000E38E2" w:rsidRDefault="002018F3" w:rsidP="00065FFB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018F3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Станови</w:t>
            </w:r>
            <w:r w:rsidR="005C55D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CC31A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изграђени у улици Шумска бб, на парцели </w:t>
            </w:r>
            <w:r w:rsidR="00CC31A2" w:rsidRPr="00CC31A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3732/19</w:t>
            </w:r>
            <w:r w:rsidR="00CC31A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КО Ветерник, ЛН </w:t>
            </w:r>
            <w:r w:rsidR="00CC31A2" w:rsidRPr="00CC31A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4186</w:t>
            </w:r>
            <w:r w:rsidR="005C55D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:</w:t>
            </w:r>
          </w:p>
          <w:p w:rsidR="005C55DD" w:rsidRDefault="005C55DD" w:rsidP="00065FFB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- Стан бр. 1: приземље, површина </w:t>
            </w:r>
            <w:r w:rsidRPr="005C55D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46,04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м</w:t>
            </w:r>
            <w:r w:rsidRPr="005C55D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sr-Cyrl-R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процењена вредност </w:t>
            </w:r>
            <w:r w:rsidRPr="005C55D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8.632.625,23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рсд;</w:t>
            </w:r>
          </w:p>
          <w:p w:rsidR="005C55DD" w:rsidRDefault="005C55DD" w:rsidP="005C55DD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  <w:r w:rsidRPr="005C55DD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- Стан бр.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</w:t>
            </w:r>
            <w:r w:rsidRPr="005C55DD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: приземље, површина 35,58м</w:t>
            </w:r>
            <w:r w:rsidRPr="005C55D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sr-Latn-RS"/>
              </w:rPr>
              <w:t>2</w:t>
            </w:r>
            <w:r w:rsidRPr="005C55DD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, процењена вредност 6.671.346,78 рсд;</w:t>
            </w:r>
          </w:p>
          <w:p w:rsidR="005C55DD" w:rsidRDefault="002C3D83" w:rsidP="002C3D83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  <w:r w:rsidRPr="002C3D83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- Стан бр.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6</w:t>
            </w:r>
            <w:r w:rsidRPr="002C3D83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: п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откров</w:t>
            </w:r>
            <w:r w:rsidRPr="002C3D83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ље, површина 26,25м</w:t>
            </w:r>
            <w:r w:rsidRPr="002C3D83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sr-Latn-RS"/>
              </w:rPr>
              <w:t>2</w:t>
            </w:r>
            <w:r w:rsidRPr="002C3D83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, процењена вредност 5.321.913,14 рсд;</w:t>
            </w:r>
          </w:p>
          <w:p w:rsidR="002C3D83" w:rsidRDefault="002C3D83" w:rsidP="002C3D83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  <w:r w:rsidRPr="002C3D83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- Стан бр.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8</w:t>
            </w:r>
            <w:r w:rsidRPr="002C3D83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: п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рви спрат</w:t>
            </w:r>
            <w:r w:rsidRPr="002C3D83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, површина 45,1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0</w:t>
            </w:r>
            <w:r w:rsidRPr="002C3D83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м</w:t>
            </w:r>
            <w:r w:rsidRPr="002C3D83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sr-Latn-RS"/>
              </w:rPr>
              <w:t>2</w:t>
            </w:r>
            <w:r w:rsidRPr="002C3D83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, процењена вредност 9.143.452,95 рсд;</w:t>
            </w:r>
          </w:p>
          <w:p w:rsidR="002C3D83" w:rsidRDefault="002C3D83" w:rsidP="002C3D83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  <w:r w:rsidRPr="002C3D83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- Стан бр.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13</w:t>
            </w:r>
            <w:r w:rsidRPr="002C3D83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: поткровље, површина 35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,00</w:t>
            </w:r>
            <w:r w:rsidRPr="002C3D83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м</w:t>
            </w:r>
            <w:r w:rsidRPr="002C3D83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sr-Latn-RS"/>
              </w:rPr>
              <w:t>2</w:t>
            </w:r>
            <w:r w:rsidRPr="002C3D83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, процењена вредност 6.562.595,20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 рсд.</w:t>
            </w:r>
          </w:p>
          <w:p w:rsidR="002C3D83" w:rsidRPr="002C3D83" w:rsidRDefault="002C3D83" w:rsidP="00A71ECB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Напомена: </w:t>
            </w:r>
            <w:r w:rsidRPr="002C3D83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Станови за које до оглашавања продаје нису поднети захтеви за излучење</w:t>
            </w:r>
            <w:r w:rsidR="00A71EC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. Уколико до датума продаје буде поднет захтев за излучење појединих станова, они ће бити изузети из продаје.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60F" w:rsidRPr="00CC460F" w:rsidRDefault="002C3D83" w:rsidP="00065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lang w:val="sr-Cyrl-RS"/>
              </w:rPr>
            </w:pPr>
            <w:r w:rsidRPr="002C3D83">
              <w:rPr>
                <w:rFonts w:ascii="Times New Roman" w:eastAsia="Times New Roman" w:hAnsi="Times New Roman"/>
                <w:b/>
                <w:noProof/>
                <w:color w:val="000000"/>
                <w:lang w:val="sr-Cyrl-RS"/>
              </w:rPr>
              <w:t>36.331.933,30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60F" w:rsidRPr="00CC460F" w:rsidRDefault="002C3D83" w:rsidP="00065FFB">
            <w:pPr>
              <w:tabs>
                <w:tab w:val="left" w:pos="1495"/>
              </w:tabs>
              <w:suppressAutoHyphens/>
              <w:spacing w:after="0" w:line="240" w:lineRule="auto"/>
              <w:ind w:right="117"/>
              <w:jc w:val="right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2C3D83">
              <w:rPr>
                <w:rFonts w:ascii="Times New Roman" w:eastAsia="Times New Roman" w:hAnsi="Times New Roman"/>
                <w:b/>
                <w:bCs/>
                <w:lang w:val="sr-Cyrl-RS"/>
              </w:rPr>
              <w:t>7.266.386,66</w:t>
            </w:r>
          </w:p>
        </w:tc>
        <w:tc>
          <w:tcPr>
            <w:tcW w:w="495" w:type="dxa"/>
            <w:tcBorders>
              <w:left w:val="single" w:sz="4" w:space="0" w:color="000000"/>
            </w:tcBorders>
          </w:tcPr>
          <w:p w:rsidR="00CC460F" w:rsidRPr="00065FFB" w:rsidRDefault="00CC460F" w:rsidP="00065F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 w:eastAsia="ar-SA"/>
              </w:rPr>
            </w:pPr>
          </w:p>
        </w:tc>
      </w:tr>
      <w:tr w:rsidR="00A71ECB" w:rsidRPr="00065FFB" w:rsidTr="006013D2">
        <w:trPr>
          <w:trHeight w:val="1134"/>
          <w:jc w:val="center"/>
        </w:trPr>
        <w:tc>
          <w:tcPr>
            <w:tcW w:w="7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ECB" w:rsidRDefault="00A71ECB" w:rsidP="00065FFB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Целина 5:</w:t>
            </w:r>
          </w:p>
          <w:p w:rsidR="00E84DB5" w:rsidRPr="00A71ECB" w:rsidRDefault="000A2036" w:rsidP="00065FFB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Пословни простор за који није утврђена делатност – Локал бр. 7, површине</w:t>
            </w:r>
            <w:r w:rsidR="00E84D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49,00м2, који се налази у оквиру Апатинског тржног центра, улица Бранка Радичевића бр.3, изграђеног на парцели </w:t>
            </w:r>
            <w:r w:rsidR="00E84DB5" w:rsidRPr="00E84D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2274/1</w:t>
            </w:r>
            <w:r w:rsidR="00E84D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КО Апатин, ЛН </w:t>
            </w:r>
            <w:r w:rsidR="00E84DB5" w:rsidRPr="00E84D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7417</w:t>
            </w:r>
            <w:r w:rsidR="00E84D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r w:rsidR="00E84DB5" w:rsidRPr="00E84D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врста права: својина, облик својине: приватна, обим удела: 1/1.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ECB" w:rsidRPr="002C3D83" w:rsidRDefault="00E84DB5" w:rsidP="00065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lang w:val="sr-Cyrl-RS"/>
              </w:rPr>
            </w:pPr>
            <w:r w:rsidRPr="00E84DB5">
              <w:rPr>
                <w:rFonts w:ascii="Times New Roman" w:eastAsia="Times New Roman" w:hAnsi="Times New Roman"/>
                <w:b/>
                <w:noProof/>
                <w:color w:val="000000"/>
                <w:lang w:val="sr-Cyrl-RS"/>
              </w:rPr>
              <w:t>4.148.497,68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ECB" w:rsidRPr="002C3D83" w:rsidRDefault="00E84DB5" w:rsidP="00065FFB">
            <w:pPr>
              <w:tabs>
                <w:tab w:val="left" w:pos="1495"/>
              </w:tabs>
              <w:suppressAutoHyphens/>
              <w:spacing w:after="0" w:line="240" w:lineRule="auto"/>
              <w:ind w:right="117"/>
              <w:jc w:val="right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lang w:val="sr-Cyrl-RS"/>
              </w:rPr>
              <w:t>829.699,54</w:t>
            </w:r>
          </w:p>
        </w:tc>
        <w:tc>
          <w:tcPr>
            <w:tcW w:w="495" w:type="dxa"/>
            <w:tcBorders>
              <w:left w:val="single" w:sz="4" w:space="0" w:color="000000"/>
            </w:tcBorders>
          </w:tcPr>
          <w:p w:rsidR="00A71ECB" w:rsidRPr="00065FFB" w:rsidRDefault="00A71ECB" w:rsidP="00065F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 w:eastAsia="ar-SA"/>
              </w:rPr>
            </w:pPr>
          </w:p>
        </w:tc>
      </w:tr>
      <w:tr w:rsidR="00E84DB5" w:rsidRPr="00065FFB" w:rsidTr="00B75B67">
        <w:trPr>
          <w:trHeight w:val="824"/>
          <w:jc w:val="center"/>
        </w:trPr>
        <w:tc>
          <w:tcPr>
            <w:tcW w:w="7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DB5" w:rsidRDefault="00E84DB5" w:rsidP="00065FFB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Целина 6:</w:t>
            </w:r>
          </w:p>
          <w:p w:rsidR="00E84DB5" w:rsidRPr="00E84DB5" w:rsidRDefault="00B75B67" w:rsidP="00065FFB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100% удела у привредном друштву Апатински тржни центар ДОО Апатин, Бранка Радичевића бр. 3, МБ </w:t>
            </w:r>
            <w:r w:rsidRPr="00B75B6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20319020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4DB5" w:rsidRPr="00E84DB5" w:rsidRDefault="00B75B67" w:rsidP="00065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lang w:val="sr-Cyrl-RS"/>
              </w:rPr>
            </w:pPr>
            <w:r w:rsidRPr="00B75B67">
              <w:rPr>
                <w:rFonts w:ascii="Times New Roman" w:eastAsia="Times New Roman" w:hAnsi="Times New Roman"/>
                <w:b/>
                <w:noProof/>
                <w:color w:val="000000"/>
                <w:lang w:val="sr-Cyrl-RS"/>
              </w:rPr>
              <w:t>52.595.000,00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4DB5" w:rsidRDefault="00B75B67" w:rsidP="00065FFB">
            <w:pPr>
              <w:tabs>
                <w:tab w:val="left" w:pos="1495"/>
              </w:tabs>
              <w:suppressAutoHyphens/>
              <w:spacing w:after="0" w:line="240" w:lineRule="auto"/>
              <w:ind w:right="117"/>
              <w:jc w:val="right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B75B67">
              <w:rPr>
                <w:rFonts w:ascii="Times New Roman" w:eastAsia="Times New Roman" w:hAnsi="Times New Roman"/>
                <w:b/>
                <w:bCs/>
                <w:lang w:val="sr-Cyrl-RS"/>
              </w:rPr>
              <w:t>10.519.000</w:t>
            </w:r>
            <w:r>
              <w:rPr>
                <w:rFonts w:ascii="Times New Roman" w:eastAsia="Times New Roman" w:hAnsi="Times New Roman"/>
                <w:b/>
                <w:bCs/>
                <w:lang w:val="sr-Cyrl-RS"/>
              </w:rPr>
              <w:t>,00</w:t>
            </w:r>
          </w:p>
        </w:tc>
        <w:tc>
          <w:tcPr>
            <w:tcW w:w="495" w:type="dxa"/>
            <w:tcBorders>
              <w:left w:val="single" w:sz="4" w:space="0" w:color="000000"/>
            </w:tcBorders>
          </w:tcPr>
          <w:p w:rsidR="00E84DB5" w:rsidRPr="00065FFB" w:rsidRDefault="00E84DB5" w:rsidP="00065F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 w:eastAsia="ar-SA"/>
              </w:rPr>
            </w:pPr>
          </w:p>
        </w:tc>
      </w:tr>
      <w:tr w:rsidR="00B75B67" w:rsidRPr="00065FFB" w:rsidTr="00B75B67">
        <w:trPr>
          <w:trHeight w:val="824"/>
          <w:jc w:val="center"/>
        </w:trPr>
        <w:tc>
          <w:tcPr>
            <w:tcW w:w="7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5B67" w:rsidRDefault="00B75B67" w:rsidP="00065FFB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Целина 7:</w:t>
            </w:r>
          </w:p>
          <w:p w:rsidR="00B75B67" w:rsidRDefault="004A07B6" w:rsidP="00065FFB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- Доставно возило марке </w:t>
            </w:r>
            <w:r w:rsidRPr="004A07B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IVECO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4A07B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DAILY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тип </w:t>
            </w:r>
            <w:r w:rsidRPr="004A07B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65C15 D/P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регистрациона ознака </w:t>
            </w:r>
            <w:r w:rsidRPr="004A07B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NS 368 TB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број шасије </w:t>
            </w:r>
            <w:r w:rsidRPr="004A07B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ZCFC65A0005441548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снага мотора </w:t>
            </w:r>
            <w:r w:rsidRPr="004A07B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107 kW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запремина мотора </w:t>
            </w:r>
            <w:r w:rsidRPr="004A07B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2800 cm</w:t>
            </w:r>
            <w:r w:rsidRPr="004A07B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sr-Cyrl-R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;</w:t>
            </w:r>
          </w:p>
          <w:p w:rsidR="004A07B6" w:rsidRPr="00BB1F77" w:rsidRDefault="004A07B6" w:rsidP="00BB1F77">
            <w:pPr>
              <w:spacing w:after="0" w:line="240" w:lineRule="auto"/>
              <w:ind w:right="12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- Путнички комби марке </w:t>
            </w:r>
            <w:r w:rsidR="00BB1F77" w:rsidRPr="00BB1F7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OPEL</w:t>
            </w:r>
            <w:r w:rsidR="00BB1F7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BB1F77" w:rsidRPr="00BB1F7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VIVARO</w:t>
            </w:r>
            <w:r w:rsidR="00BB1F7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r w:rsidR="00BB1F77" w:rsidRPr="00BB1F7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регистрациона ознака NS 389 DE, број шасије W0LJ787468V647464, снага мотора </w:t>
            </w:r>
            <w:r w:rsidR="00BB1F7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84</w:t>
            </w:r>
            <w:r w:rsidR="00BB1F77" w:rsidRPr="00BB1F7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kW, запремина мотора </w:t>
            </w:r>
            <w:r w:rsidR="00BB1F7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1995</w:t>
            </w:r>
            <w:r w:rsidR="00BB1F77" w:rsidRPr="00BB1F7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cm</w:t>
            </w:r>
            <w:r w:rsidR="00BB1F77" w:rsidRPr="00BB1F7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sr-Cyrl-RS"/>
              </w:rPr>
              <w:t>3</w:t>
            </w:r>
            <w:r w:rsidR="00BB1F7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B67" w:rsidRPr="00B75B67" w:rsidRDefault="00BB1F77" w:rsidP="00065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lang w:val="sr-Cyrl-RS"/>
              </w:rPr>
            </w:pPr>
            <w:r w:rsidRPr="00BB1F77">
              <w:rPr>
                <w:rFonts w:ascii="Times New Roman" w:eastAsia="Times New Roman" w:hAnsi="Times New Roman"/>
                <w:b/>
                <w:noProof/>
                <w:color w:val="000000"/>
                <w:lang w:val="sr-Cyrl-RS"/>
              </w:rPr>
              <w:t>540.027,00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B67" w:rsidRPr="00B75B67" w:rsidRDefault="00BB1F77" w:rsidP="00065FFB">
            <w:pPr>
              <w:tabs>
                <w:tab w:val="left" w:pos="1495"/>
              </w:tabs>
              <w:suppressAutoHyphens/>
              <w:spacing w:after="0" w:line="240" w:lineRule="auto"/>
              <w:ind w:right="117"/>
              <w:jc w:val="right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BB1F77">
              <w:rPr>
                <w:rFonts w:ascii="Times New Roman" w:eastAsia="Times New Roman" w:hAnsi="Times New Roman"/>
                <w:b/>
                <w:bCs/>
                <w:lang w:val="sr-Cyrl-RS"/>
              </w:rPr>
              <w:t>108.005,4</w:t>
            </w:r>
            <w:r>
              <w:rPr>
                <w:rFonts w:ascii="Times New Roman" w:eastAsia="Times New Roman" w:hAnsi="Times New Roman"/>
                <w:b/>
                <w:bCs/>
                <w:lang w:val="sr-Cyrl-RS"/>
              </w:rPr>
              <w:t>0</w:t>
            </w:r>
          </w:p>
        </w:tc>
        <w:tc>
          <w:tcPr>
            <w:tcW w:w="495" w:type="dxa"/>
            <w:tcBorders>
              <w:left w:val="single" w:sz="4" w:space="0" w:color="000000"/>
            </w:tcBorders>
          </w:tcPr>
          <w:p w:rsidR="00B75B67" w:rsidRPr="00065FFB" w:rsidRDefault="00B75B67" w:rsidP="00065F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 w:eastAsia="ar-SA"/>
              </w:rPr>
            </w:pPr>
          </w:p>
        </w:tc>
      </w:tr>
    </w:tbl>
    <w:p w:rsidR="00527C8C" w:rsidRPr="00F117DB" w:rsidRDefault="00527C8C" w:rsidP="00527C8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Latn-RS"/>
        </w:rPr>
      </w:pPr>
    </w:p>
    <w:p w:rsidR="009F0991" w:rsidRDefault="00527C8C" w:rsidP="005C55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446A08">
        <w:rPr>
          <w:rFonts w:ascii="Times New Roman" w:eastAsia="Times New Roman" w:hAnsi="Times New Roman"/>
          <w:sz w:val="24"/>
          <w:szCs w:val="24"/>
          <w:lang w:val="sr-Cyrl-RS"/>
        </w:rPr>
        <w:t>Процењена вредност имовине која представља предмет продаје није минимално прихватљива вредност, нити је на било који други начин обавезујућа или опредељујућа за понуђача приликом одређивања висине понуде.</w:t>
      </w:r>
    </w:p>
    <w:p w:rsidR="001F7E9A" w:rsidRPr="00446A08" w:rsidRDefault="00524536" w:rsidP="00527C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ab/>
      </w:r>
    </w:p>
    <w:p w:rsidR="00527C8C" w:rsidRPr="00446A08" w:rsidRDefault="00527C8C" w:rsidP="00527C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sr-Cyrl-CS"/>
        </w:rPr>
      </w:pPr>
      <w:r w:rsidRPr="00446A08">
        <w:rPr>
          <w:rFonts w:ascii="Times New Roman" w:eastAsia="Times New Roman" w:hAnsi="Times New Roman"/>
          <w:sz w:val="24"/>
          <w:szCs w:val="24"/>
          <w:u w:val="single"/>
          <w:lang w:val="sr-Cyrl-CS"/>
        </w:rPr>
        <w:t xml:space="preserve">Право на учешће у поступку </w:t>
      </w:r>
      <w:r w:rsidRPr="00446A08">
        <w:rPr>
          <w:rFonts w:ascii="Times New Roman" w:eastAsia="Times New Roman" w:hAnsi="Times New Roman"/>
          <w:sz w:val="24"/>
          <w:szCs w:val="24"/>
          <w:u w:val="single"/>
          <w:lang w:val="sr-Cyrl-RS"/>
        </w:rPr>
        <w:t xml:space="preserve">друге продаје методом јавног прикупљања понуда  </w:t>
      </w:r>
      <w:r w:rsidRPr="00446A08">
        <w:rPr>
          <w:rFonts w:ascii="Times New Roman" w:eastAsia="Times New Roman" w:hAnsi="Times New Roman"/>
          <w:sz w:val="24"/>
          <w:szCs w:val="24"/>
          <w:u w:val="single"/>
          <w:lang w:val="sr-Cyrl-CS"/>
        </w:rPr>
        <w:t>имају сва правна и физичка лица</w:t>
      </w:r>
      <w:r w:rsidRPr="00446A08">
        <w:rPr>
          <w:rFonts w:ascii="Times New Roman" w:eastAsia="Times New Roman" w:hAnsi="Times New Roman"/>
          <w:sz w:val="24"/>
          <w:szCs w:val="24"/>
          <w:u w:val="single"/>
          <w:lang w:val="ru-RU"/>
        </w:rPr>
        <w:t xml:space="preserve"> </w:t>
      </w:r>
      <w:r w:rsidRPr="00446A08">
        <w:rPr>
          <w:rFonts w:ascii="Times New Roman" w:eastAsia="Times New Roman" w:hAnsi="Times New Roman"/>
          <w:sz w:val="24"/>
          <w:szCs w:val="24"/>
          <w:u w:val="single"/>
          <w:lang w:val="sr-Cyrl-CS"/>
        </w:rPr>
        <w:t>која:</w:t>
      </w:r>
    </w:p>
    <w:p w:rsidR="00527C8C" w:rsidRPr="00446A08" w:rsidRDefault="00527C8C" w:rsidP="009843C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након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добијања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профактуре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>изврше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>уплату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>ради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>откупа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>продајне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>документације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296319"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  <w:t>појединачно</w:t>
      </w:r>
      <w:r w:rsidR="009843CA"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  <w:t>:</w:t>
      </w:r>
      <w:r w:rsidR="00296319"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  <w:t xml:space="preserve"> за Целине 1, 2, 3, 4 и 5 </w:t>
      </w:r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у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>износу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>од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9843CA"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  <w:t xml:space="preserve">по </w:t>
      </w:r>
      <w:r w:rsidR="0010373E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sr-Cyrl-RS"/>
        </w:rPr>
        <w:t>10</w:t>
      </w:r>
      <w:r w:rsidR="00296319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0</w:t>
      </w:r>
      <w:r w:rsidRPr="00446A08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.000,00 </w:t>
      </w:r>
      <w:proofErr w:type="spellStart"/>
      <w:r w:rsidRPr="00446A08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динара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446A08"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  <w:t>увећано за ПДВ</w:t>
      </w:r>
      <w:r w:rsidR="00296319"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  <w:t xml:space="preserve">, а за Целине 6 и 7 </w:t>
      </w:r>
      <w:r w:rsidR="009843CA" w:rsidRPr="009843CA"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  <w:t xml:space="preserve">у износу од </w:t>
      </w:r>
      <w:r w:rsidR="009843CA"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  <w:t>по 3</w:t>
      </w:r>
      <w:r w:rsidR="009843CA" w:rsidRPr="009843CA"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  <w:t>0.000,00 динара увећано за ПДВ</w:t>
      </w:r>
      <w:r w:rsidRPr="00446A0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446A08">
        <w:rPr>
          <w:rFonts w:ascii="Times New Roman" w:hAnsi="Times New Roman"/>
          <w:sz w:val="24"/>
          <w:szCs w:val="24"/>
          <w:shd w:val="clear" w:color="auto" w:fill="FFFFFF"/>
        </w:rPr>
        <w:t>Профактура</w:t>
      </w:r>
      <w:proofErr w:type="spellEnd"/>
      <w:r w:rsidRPr="00446A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6A08">
        <w:rPr>
          <w:rFonts w:ascii="Times New Roman" w:hAnsi="Times New Roman"/>
          <w:sz w:val="24"/>
          <w:szCs w:val="24"/>
          <w:shd w:val="clear" w:color="auto" w:fill="FFFFFF"/>
        </w:rPr>
        <w:t>се</w:t>
      </w:r>
      <w:proofErr w:type="spellEnd"/>
      <w:r w:rsidRPr="00446A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6A08">
        <w:rPr>
          <w:rFonts w:ascii="Times New Roman" w:hAnsi="Times New Roman"/>
          <w:sz w:val="24"/>
          <w:szCs w:val="24"/>
          <w:shd w:val="clear" w:color="auto" w:fill="FFFFFF"/>
        </w:rPr>
        <w:t>може</w:t>
      </w:r>
      <w:proofErr w:type="spellEnd"/>
      <w:r w:rsidRPr="00446A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46A08"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>добити контактирајући стечајног управника на е маил:</w:t>
      </w:r>
      <w:r w:rsidRPr="00446A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96319">
        <w:rPr>
          <w:rFonts w:ascii="Times New Roman" w:hAnsi="Times New Roman"/>
          <w:sz w:val="24"/>
          <w:szCs w:val="24"/>
          <w:u w:val="single"/>
          <w:shd w:val="clear" w:color="auto" w:fill="FFFFFF"/>
          <w:lang w:val="sr-Latn-RS"/>
        </w:rPr>
        <w:t>jadranko.protic@gmail.com</w:t>
      </w:r>
    </w:p>
    <w:p w:rsidR="00527C8C" w:rsidRPr="00446A08" w:rsidRDefault="00527C8C" w:rsidP="00527C8C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</w:rPr>
        <w:t>Рок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</w:rPr>
        <w:t>за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</w:rPr>
        <w:t>откуп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</w:rPr>
        <w:t>продајне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</w:rPr>
        <w:t>документације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</w:rPr>
        <w:t>је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F70CB" w:rsidRPr="006F07FA">
        <w:rPr>
          <w:rFonts w:ascii="Times New Roman" w:eastAsia="Times New Roman" w:hAnsi="Times New Roman"/>
          <w:b/>
          <w:sz w:val="24"/>
          <w:szCs w:val="24"/>
        </w:rPr>
        <w:t>11</w:t>
      </w:r>
      <w:r w:rsidRPr="006F07FA">
        <w:rPr>
          <w:rFonts w:ascii="Times New Roman" w:eastAsia="Times New Roman" w:hAnsi="Times New Roman"/>
          <w:b/>
          <w:sz w:val="24"/>
          <w:szCs w:val="24"/>
          <w:lang w:val="sr-Cyrl-RS"/>
        </w:rPr>
        <w:t>.0</w:t>
      </w:r>
      <w:r w:rsidR="002F70CB" w:rsidRPr="006F07FA">
        <w:rPr>
          <w:rFonts w:ascii="Times New Roman" w:eastAsia="Times New Roman" w:hAnsi="Times New Roman"/>
          <w:b/>
          <w:sz w:val="24"/>
          <w:szCs w:val="24"/>
          <w:lang w:val="sr-Latn-RS"/>
        </w:rPr>
        <w:t>3</w:t>
      </w:r>
      <w:r w:rsidRPr="006F07FA">
        <w:rPr>
          <w:rFonts w:ascii="Times New Roman" w:eastAsia="Times New Roman" w:hAnsi="Times New Roman"/>
          <w:b/>
          <w:sz w:val="24"/>
          <w:szCs w:val="24"/>
          <w:lang w:val="sr-Cyrl-RS"/>
        </w:rPr>
        <w:t>.</w:t>
      </w:r>
      <w:r w:rsidRPr="00446A08">
        <w:rPr>
          <w:rFonts w:ascii="Times New Roman" w:eastAsia="Times New Roman" w:hAnsi="Times New Roman"/>
          <w:b/>
          <w:sz w:val="24"/>
          <w:szCs w:val="24"/>
          <w:lang w:val="sr-Cyrl-RS"/>
        </w:rPr>
        <w:t>2024</w:t>
      </w:r>
      <w:r w:rsidRPr="00446A08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</w:rPr>
        <w:t>године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</w:rPr>
        <w:t>.</w:t>
      </w:r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27C8C" w:rsidRPr="00446A08" w:rsidRDefault="00527C8C" w:rsidP="009843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>уплате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>депозит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у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>висини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>од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446A08"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  <w:t>20</w:t>
      </w:r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%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>од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>процењене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>вредности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>предмета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>продаје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</w:rPr>
        <w:t>на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</w:rPr>
        <w:t>динарски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</w:rPr>
        <w:t>текући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</w:rPr>
        <w:t>рачун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стечајног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дужника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број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>:</w:t>
      </w:r>
      <w:r w:rsidRPr="00446A0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9843CA" w:rsidRPr="009843CA">
        <w:rPr>
          <w:rFonts w:ascii="Times New Roman" w:eastAsia="Times New Roman" w:hAnsi="Times New Roman"/>
          <w:b/>
          <w:sz w:val="24"/>
          <w:szCs w:val="24"/>
          <w:u w:val="single"/>
        </w:rPr>
        <w:t>160-6000001314884-96</w:t>
      </w:r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>код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9843CA">
        <w:rPr>
          <w:rFonts w:ascii="Times New Roman" w:eastAsia="Times New Roman" w:hAnsi="Times New Roman"/>
          <w:b/>
          <w:sz w:val="24"/>
          <w:szCs w:val="24"/>
          <w:u w:val="single"/>
          <w:lang w:val="sr-Latn-RS"/>
        </w:rPr>
        <w:t>Banca Intesa</w:t>
      </w:r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9843CA">
        <w:rPr>
          <w:rFonts w:ascii="Times New Roman" w:eastAsia="Times New Roman" w:hAnsi="Times New Roman"/>
          <w:b/>
          <w:sz w:val="24"/>
          <w:szCs w:val="24"/>
          <w:u w:val="single"/>
        </w:rPr>
        <w:t>AD</w:t>
      </w:r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="009843CA">
        <w:rPr>
          <w:rFonts w:ascii="Times New Roman" w:eastAsia="Times New Roman" w:hAnsi="Times New Roman"/>
          <w:b/>
          <w:sz w:val="24"/>
          <w:szCs w:val="24"/>
          <w:u w:val="single"/>
        </w:rPr>
        <w:t>Beograd</w:t>
      </w:r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или</w:t>
      </w:r>
      <w:proofErr w:type="spellEnd"/>
      <w:proofErr w:type="gram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положе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неопозиву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првокласну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банкарску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гаранцију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наплативу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први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позив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дан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одржавања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продаје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46A08">
        <w:rPr>
          <w:rFonts w:ascii="Times New Roman" w:eastAsia="Times New Roman" w:hAnsi="Times New Roman"/>
          <w:b/>
          <w:sz w:val="24"/>
          <w:szCs w:val="24"/>
        </w:rPr>
        <w:t>(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</w:rPr>
        <w:t>рок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</w:rPr>
        <w:t>за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</w:rPr>
        <w:t>уплату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</w:rPr>
        <w:t>депозита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</w:rPr>
        <w:t>је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F70CB" w:rsidRPr="006F07FA">
        <w:rPr>
          <w:rFonts w:ascii="Times New Roman" w:eastAsia="Times New Roman" w:hAnsi="Times New Roman"/>
          <w:b/>
          <w:sz w:val="24"/>
          <w:szCs w:val="24"/>
        </w:rPr>
        <w:t>15</w:t>
      </w:r>
      <w:r w:rsidRPr="006F07FA">
        <w:rPr>
          <w:rFonts w:ascii="Times New Roman" w:eastAsia="Times New Roman" w:hAnsi="Times New Roman"/>
          <w:b/>
          <w:sz w:val="24"/>
          <w:szCs w:val="24"/>
          <w:lang w:val="sr-Cyrl-RS"/>
        </w:rPr>
        <w:t>.0</w:t>
      </w:r>
      <w:r w:rsidR="002F70CB" w:rsidRPr="006F07FA">
        <w:rPr>
          <w:rFonts w:ascii="Times New Roman" w:eastAsia="Times New Roman" w:hAnsi="Times New Roman"/>
          <w:b/>
          <w:sz w:val="24"/>
          <w:szCs w:val="24"/>
          <w:lang w:val="sr-Latn-RS"/>
        </w:rPr>
        <w:t>3</w:t>
      </w:r>
      <w:r w:rsidRPr="00446A08">
        <w:rPr>
          <w:rFonts w:ascii="Times New Roman" w:eastAsia="Times New Roman" w:hAnsi="Times New Roman"/>
          <w:b/>
          <w:sz w:val="24"/>
          <w:szCs w:val="24"/>
          <w:lang w:val="sr-Cyrl-RS"/>
        </w:rPr>
        <w:t>.2024</w:t>
      </w:r>
      <w:r w:rsidRPr="00446A08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</w:rPr>
        <w:t>године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</w:rPr>
        <w:t>)</w:t>
      </w:r>
      <w:r w:rsidRPr="00446A08">
        <w:rPr>
          <w:rFonts w:ascii="Times New Roman" w:eastAsia="Times New Roman" w:hAnsi="Times New Roman"/>
          <w:sz w:val="24"/>
          <w:szCs w:val="24"/>
        </w:rPr>
        <w:t xml:space="preserve">. У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случају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као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депозит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положи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првокласна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банкарска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гаранција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оригинал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исте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ради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провере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мора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доставити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искључиво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лично</w:t>
      </w:r>
      <w:proofErr w:type="spellEnd"/>
      <w:r w:rsidRPr="00446A08">
        <w:rPr>
          <w:rFonts w:ascii="Times New Roman" w:eastAsia="Times New Roman" w:hAnsi="Times New Roman"/>
          <w:sz w:val="24"/>
          <w:szCs w:val="24"/>
          <w:lang w:val="sr-Cyrl-RS"/>
        </w:rPr>
        <w:t xml:space="preserve"> стечајном управнику</w:t>
      </w:r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адресу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Нови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Сад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, </w:t>
      </w:r>
      <w:r w:rsidR="009843CA">
        <w:rPr>
          <w:rFonts w:ascii="Times New Roman" w:eastAsia="Times New Roman" w:hAnsi="Times New Roman"/>
          <w:sz w:val="24"/>
          <w:szCs w:val="24"/>
          <w:lang w:val="sr-Cyrl-RS"/>
        </w:rPr>
        <w:t>Ћирпанова 7, стан 33</w:t>
      </w:r>
      <w:r w:rsidRPr="00446A0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најкасније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дана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r w:rsidR="002F70CB" w:rsidRPr="006F07FA">
        <w:rPr>
          <w:rFonts w:ascii="Times New Roman" w:eastAsia="Times New Roman" w:hAnsi="Times New Roman"/>
          <w:b/>
          <w:sz w:val="24"/>
          <w:szCs w:val="24"/>
        </w:rPr>
        <w:t>15</w:t>
      </w:r>
      <w:r w:rsidRPr="006F07FA">
        <w:rPr>
          <w:rFonts w:ascii="Times New Roman" w:eastAsia="Times New Roman" w:hAnsi="Times New Roman"/>
          <w:b/>
          <w:sz w:val="24"/>
          <w:szCs w:val="24"/>
          <w:lang w:val="sr-Cyrl-RS"/>
        </w:rPr>
        <w:t>.0</w:t>
      </w:r>
      <w:r w:rsidR="002F70CB" w:rsidRPr="006F07FA">
        <w:rPr>
          <w:rFonts w:ascii="Times New Roman" w:eastAsia="Times New Roman" w:hAnsi="Times New Roman"/>
          <w:b/>
          <w:sz w:val="24"/>
          <w:szCs w:val="24"/>
          <w:lang w:val="sr-Latn-RS"/>
        </w:rPr>
        <w:t>3</w:t>
      </w:r>
      <w:r w:rsidRPr="00446A08">
        <w:rPr>
          <w:rFonts w:ascii="Times New Roman" w:eastAsia="Times New Roman" w:hAnsi="Times New Roman"/>
          <w:b/>
          <w:sz w:val="24"/>
          <w:szCs w:val="24"/>
          <w:lang w:val="sr-Cyrl-RS"/>
        </w:rPr>
        <w:t>.2024</w:t>
      </w:r>
      <w:r w:rsidRPr="00446A08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proofErr w:type="spellStart"/>
      <w:r w:rsidRPr="00446A08">
        <w:rPr>
          <w:rFonts w:ascii="Times New Roman" w:eastAsia="Times New Roman" w:hAnsi="Times New Roman"/>
          <w:b/>
          <w:bCs/>
          <w:sz w:val="24"/>
          <w:szCs w:val="24"/>
        </w:rPr>
        <w:t>године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до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10:00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часова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београдском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времену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. У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обзир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ће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узети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само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банкарске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гаранције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које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пристигну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назначену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адресу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до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назначеног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времена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Банкарска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гаранција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мора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имати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рок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важења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F07FA">
        <w:rPr>
          <w:rFonts w:ascii="Times New Roman" w:eastAsia="Times New Roman" w:hAnsi="Times New Roman"/>
          <w:b/>
          <w:sz w:val="24"/>
          <w:szCs w:val="24"/>
        </w:rPr>
        <w:t>до</w:t>
      </w:r>
      <w:proofErr w:type="spellEnd"/>
      <w:r w:rsidRPr="006F07F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F70CB" w:rsidRPr="006F07FA">
        <w:rPr>
          <w:rFonts w:ascii="Times New Roman" w:eastAsia="Times New Roman" w:hAnsi="Times New Roman"/>
          <w:b/>
          <w:sz w:val="24"/>
          <w:szCs w:val="24"/>
        </w:rPr>
        <w:t>15</w:t>
      </w:r>
      <w:r w:rsidRPr="006F07FA">
        <w:rPr>
          <w:rFonts w:ascii="Times New Roman" w:eastAsia="Times New Roman" w:hAnsi="Times New Roman"/>
          <w:b/>
          <w:sz w:val="24"/>
          <w:szCs w:val="24"/>
          <w:lang w:val="sr-Cyrl-RS"/>
        </w:rPr>
        <w:t>.0</w:t>
      </w:r>
      <w:r w:rsidR="002F70CB" w:rsidRPr="006F07FA">
        <w:rPr>
          <w:rFonts w:ascii="Times New Roman" w:eastAsia="Times New Roman" w:hAnsi="Times New Roman"/>
          <w:b/>
          <w:sz w:val="24"/>
          <w:szCs w:val="24"/>
          <w:lang w:val="sr-Latn-RS"/>
        </w:rPr>
        <w:t>5</w:t>
      </w:r>
      <w:r w:rsidRPr="00446A08">
        <w:rPr>
          <w:rFonts w:ascii="Times New Roman" w:eastAsia="Times New Roman" w:hAnsi="Times New Roman"/>
          <w:b/>
          <w:sz w:val="24"/>
          <w:szCs w:val="24"/>
          <w:lang w:val="sr-Cyrl-RS"/>
        </w:rPr>
        <w:t>.2024</w:t>
      </w:r>
      <w:r w:rsidRPr="00446A08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</w:rPr>
        <w:t>године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</w:rPr>
        <w:t>.</w:t>
      </w:r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Уколико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јавном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отварању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писаних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понуда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најуспешнијег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понуђача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буде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проглашен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понуђач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који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депозит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обезбедио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банкарском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гаранцијом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исти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мора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измирити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износ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депозита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року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48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сати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дана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r w:rsidR="009843CA">
        <w:rPr>
          <w:rFonts w:ascii="Times New Roman" w:eastAsia="Times New Roman" w:hAnsi="Times New Roman"/>
          <w:sz w:val="24"/>
          <w:szCs w:val="24"/>
          <w:lang w:val="sr-Cyrl-RS"/>
        </w:rPr>
        <w:t xml:space="preserve">проглашења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најуспешнијег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понуђача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, а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пре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потписивања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купопродајног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уговора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након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чега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ће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бити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враћена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гаранција</w:t>
      </w:r>
      <w:proofErr w:type="spellEnd"/>
      <w:r w:rsidR="009843CA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527C8C" w:rsidRPr="00446A08" w:rsidRDefault="00527C8C" w:rsidP="00527C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>потпишу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>изјаву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о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>губитку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>права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>на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>враћање</w:t>
      </w:r>
      <w:proofErr w:type="spellEnd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b/>
          <w:sz w:val="24"/>
          <w:szCs w:val="24"/>
          <w:u w:val="single"/>
        </w:rPr>
        <w:t>депозита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46A08">
        <w:rPr>
          <w:rFonts w:ascii="Times New Roman" w:eastAsia="Times New Roman" w:hAnsi="Times New Roman"/>
          <w:sz w:val="24"/>
          <w:szCs w:val="24"/>
          <w:lang w:val="sr-Cyrl-RS"/>
        </w:rPr>
        <w:t>која</w:t>
      </w:r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чин</w:t>
      </w:r>
      <w:proofErr w:type="spellEnd"/>
      <w:r w:rsidRPr="00446A08">
        <w:rPr>
          <w:rFonts w:ascii="Times New Roman" w:eastAsia="Times New Roman" w:hAnsi="Times New Roman"/>
          <w:sz w:val="24"/>
          <w:szCs w:val="24"/>
          <w:lang w:val="sr-Cyrl-RS"/>
        </w:rPr>
        <w:t>и</w:t>
      </w:r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саставни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део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продајне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документације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>.</w:t>
      </w:r>
    </w:p>
    <w:p w:rsidR="00527C8C" w:rsidRPr="00446A08" w:rsidRDefault="00527C8C" w:rsidP="00527C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46A08"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  <w:t>достави понуду</w:t>
      </w:r>
    </w:p>
    <w:p w:rsidR="00527C8C" w:rsidRPr="00446A08" w:rsidRDefault="00527C8C" w:rsidP="00527C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527C8C" w:rsidRPr="00446A08" w:rsidRDefault="00527C8C" w:rsidP="00527C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446A08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Понуде </w:t>
      </w:r>
      <w:r w:rsidRPr="00446A08">
        <w:rPr>
          <w:rFonts w:ascii="Times New Roman" w:eastAsia="Times New Roman" w:hAnsi="Times New Roman"/>
          <w:bCs/>
          <w:sz w:val="24"/>
          <w:szCs w:val="24"/>
          <w:lang w:val="sr-Cyrl-CS"/>
        </w:rPr>
        <w:t>се достављају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446A08">
        <w:rPr>
          <w:rFonts w:ascii="Times New Roman" w:eastAsia="Times New Roman" w:hAnsi="Times New Roman"/>
          <w:bCs/>
          <w:sz w:val="24"/>
          <w:szCs w:val="24"/>
          <w:lang w:val="sr-Cyrl-CS"/>
        </w:rPr>
        <w:t>лично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 xml:space="preserve"> стечајном управнику на адресу у Новом Саду, ул. </w:t>
      </w:r>
      <w:r w:rsidR="009843CA" w:rsidRPr="009843CA">
        <w:rPr>
          <w:rFonts w:ascii="Times New Roman" w:eastAsia="Times New Roman" w:hAnsi="Times New Roman"/>
          <w:sz w:val="24"/>
          <w:szCs w:val="24"/>
          <w:lang w:val="sr-Cyrl-CS"/>
        </w:rPr>
        <w:t xml:space="preserve">Ћирпанова </w:t>
      </w:r>
      <w:r w:rsidR="009843CA" w:rsidRPr="00446A08">
        <w:rPr>
          <w:rFonts w:ascii="Times New Roman" w:eastAsia="Times New Roman" w:hAnsi="Times New Roman"/>
          <w:sz w:val="24"/>
          <w:szCs w:val="24"/>
          <w:lang w:val="sr-Cyrl-CS"/>
        </w:rPr>
        <w:t>бр.</w:t>
      </w:r>
      <w:r w:rsidR="009843CA" w:rsidRPr="009843CA">
        <w:rPr>
          <w:rFonts w:ascii="Times New Roman" w:eastAsia="Times New Roman" w:hAnsi="Times New Roman"/>
          <w:sz w:val="24"/>
          <w:szCs w:val="24"/>
          <w:lang w:val="sr-Cyrl-CS"/>
        </w:rPr>
        <w:t>7, стан 33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 w:rsidRPr="00446A08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Pr="00446A08">
        <w:rPr>
          <w:rFonts w:ascii="Times New Roman" w:eastAsia="Times New Roman" w:hAnsi="Times New Roman"/>
          <w:sz w:val="24"/>
          <w:szCs w:val="24"/>
          <w:lang w:val="ru-RU"/>
        </w:rPr>
        <w:t>Прихватају се искључиво</w:t>
      </w:r>
      <w:r w:rsidRPr="00446A08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Pr="00446A08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>запечаћене понуде</w:t>
      </w:r>
      <w:r w:rsidRPr="00446A08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Pr="00446A08">
        <w:rPr>
          <w:rFonts w:ascii="Times New Roman" w:eastAsia="Times New Roman" w:hAnsi="Times New Roman"/>
          <w:sz w:val="24"/>
          <w:szCs w:val="24"/>
          <w:lang w:val="ru-RU"/>
        </w:rPr>
        <w:t>са назнаком</w:t>
      </w:r>
      <w:r w:rsidRPr="00446A08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Pr="00446A08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>''ПОНУДА - НЕ ОТВАРАТИ''</w:t>
      </w:r>
      <w:r w:rsidRPr="00446A08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</w:t>
      </w:r>
      <w:r w:rsidRPr="00446A08">
        <w:rPr>
          <w:rFonts w:ascii="Times New Roman" w:eastAsia="Times New Roman" w:hAnsi="Times New Roman"/>
          <w:sz w:val="24"/>
          <w:szCs w:val="24"/>
          <w:lang w:val="ru-RU"/>
        </w:rPr>
        <w:t xml:space="preserve">на коверти и назнаком да се понуда односи на продају </w:t>
      </w:r>
      <w:r w:rsidR="00395672">
        <w:rPr>
          <w:rFonts w:ascii="Times New Roman" w:eastAsia="Times New Roman" w:hAnsi="Times New Roman"/>
          <w:sz w:val="24"/>
          <w:szCs w:val="24"/>
          <w:lang w:val="ru-RU"/>
        </w:rPr>
        <w:t xml:space="preserve">тачно назначене </w:t>
      </w:r>
      <w:r w:rsidRPr="00446A08">
        <w:rPr>
          <w:rFonts w:ascii="Times New Roman" w:eastAsia="Times New Roman" w:hAnsi="Times New Roman"/>
          <w:sz w:val="24"/>
          <w:szCs w:val="24"/>
          <w:lang w:val="ru-RU"/>
        </w:rPr>
        <w:t>имовин</w:t>
      </w:r>
      <w:r w:rsidR="009843CA">
        <w:rPr>
          <w:rFonts w:ascii="Times New Roman" w:eastAsia="Times New Roman" w:hAnsi="Times New Roman"/>
          <w:sz w:val="24"/>
          <w:szCs w:val="24"/>
          <w:lang w:val="ru-RU"/>
        </w:rPr>
        <w:t>ске целине</w:t>
      </w:r>
      <w:r w:rsidRPr="00446A08">
        <w:rPr>
          <w:rFonts w:ascii="Times New Roman" w:eastAsia="Times New Roman" w:hAnsi="Times New Roman"/>
          <w:sz w:val="24"/>
          <w:szCs w:val="24"/>
          <w:lang w:val="ru-RU"/>
        </w:rPr>
        <w:t xml:space="preserve"> стечајног дужника </w:t>
      </w:r>
      <w:r w:rsidR="00395672" w:rsidRPr="00395672">
        <w:rPr>
          <w:rFonts w:ascii="Times New Roman" w:eastAsia="Times New Roman" w:hAnsi="Times New Roman"/>
          <w:sz w:val="24"/>
          <w:szCs w:val="24"/>
          <w:lang w:val="ru-RU"/>
        </w:rPr>
        <w:t>МИЛОШ И НЕИМАРИ ДОО Нови Сад – у стечају</w:t>
      </w:r>
      <w:r w:rsidRPr="00395672">
        <w:rPr>
          <w:rFonts w:ascii="Times New Roman" w:eastAsia="Times New Roman" w:hAnsi="Times New Roman"/>
          <w:sz w:val="24"/>
          <w:szCs w:val="24"/>
          <w:lang w:val="ru-RU"/>
        </w:rPr>
        <w:t>.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527C8C" w:rsidRPr="00446A08" w:rsidRDefault="00527C8C" w:rsidP="00527C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446A08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Крајњи рок за достављање понуда је </w:t>
      </w:r>
      <w:r w:rsidR="002F70CB" w:rsidRPr="006F07FA">
        <w:rPr>
          <w:rFonts w:ascii="Times New Roman" w:eastAsia="Times New Roman" w:hAnsi="Times New Roman"/>
          <w:b/>
          <w:sz w:val="24"/>
          <w:szCs w:val="24"/>
        </w:rPr>
        <w:t>15</w:t>
      </w:r>
      <w:r w:rsidRPr="006F07FA">
        <w:rPr>
          <w:rFonts w:ascii="Times New Roman" w:eastAsia="Times New Roman" w:hAnsi="Times New Roman"/>
          <w:b/>
          <w:sz w:val="24"/>
          <w:szCs w:val="24"/>
          <w:lang w:val="sr-Cyrl-CS"/>
        </w:rPr>
        <w:t>.0</w:t>
      </w:r>
      <w:r w:rsidR="002F70CB" w:rsidRPr="006F07FA">
        <w:rPr>
          <w:rFonts w:ascii="Times New Roman" w:eastAsia="Times New Roman" w:hAnsi="Times New Roman"/>
          <w:b/>
          <w:sz w:val="24"/>
          <w:szCs w:val="24"/>
          <w:lang w:val="sr-Latn-RS"/>
        </w:rPr>
        <w:t>3</w:t>
      </w:r>
      <w:r w:rsidRPr="00446A08">
        <w:rPr>
          <w:rFonts w:ascii="Times New Roman" w:eastAsia="Times New Roman" w:hAnsi="Times New Roman"/>
          <w:b/>
          <w:sz w:val="24"/>
          <w:szCs w:val="24"/>
          <w:lang w:val="sr-Cyrl-CS"/>
        </w:rPr>
        <w:t>.2024. године до 11:45 часова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</w:p>
    <w:p w:rsidR="00527C8C" w:rsidRPr="00446A08" w:rsidRDefault="00527C8C" w:rsidP="00527C8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527C8C" w:rsidRPr="00446A08" w:rsidRDefault="00527C8C" w:rsidP="00527C8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val="sr-Cyrl-CS"/>
        </w:rPr>
      </w:pPr>
      <w:r w:rsidRPr="00446A08">
        <w:rPr>
          <w:rFonts w:ascii="Times New Roman" w:eastAsia="Times New Roman" w:hAnsi="Times New Roman"/>
          <w:b/>
          <w:bCs/>
          <w:sz w:val="24"/>
          <w:szCs w:val="24"/>
          <w:u w:val="single"/>
          <w:lang w:val="sr-Cyrl-CS"/>
        </w:rPr>
        <w:t>Запечаћена коверта треба да садржи:</w:t>
      </w:r>
    </w:p>
    <w:p w:rsidR="00527C8C" w:rsidRPr="00446A08" w:rsidRDefault="00527C8C" w:rsidP="00527C8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потписану пријаву за учешће у поступку јавног прикупљања понуда;</w:t>
      </w:r>
    </w:p>
    <w:p w:rsidR="00527C8C" w:rsidRPr="00446A08" w:rsidRDefault="00527C8C" w:rsidP="00527C8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потписану понуду, уз навођење јасно одређеног нето износа за куповину предмета продаје;</w:t>
      </w:r>
    </w:p>
    <w:p w:rsidR="00527C8C" w:rsidRPr="00446A08" w:rsidRDefault="00527C8C" w:rsidP="00527C8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доказ о уплати депозита или копију банкарске гаранције;</w:t>
      </w:r>
    </w:p>
    <w:p w:rsidR="00527C8C" w:rsidRPr="00446A08" w:rsidRDefault="00527C8C" w:rsidP="00527C8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потписану изјаву о губитку права на повраћај депозита;</w:t>
      </w:r>
    </w:p>
    <w:p w:rsidR="00527C8C" w:rsidRPr="00446A08" w:rsidRDefault="00527C8C" w:rsidP="00527C8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извод или решење из регистра привредних субјеката не старије од 3 месеца од дана јавног отварања понуда и ОП образац, ако се као потенцијални купац пријављује правно лице;</w:t>
      </w:r>
    </w:p>
    <w:p w:rsidR="00527C8C" w:rsidRPr="00446A08" w:rsidRDefault="00527C8C" w:rsidP="00527C8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очитану личну карту или фотокопију личне карте за домаћа физичка лица или пасош за страна физичка лица, ако се као потенцијални купац пријављује физичко лице;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ab/>
      </w:r>
    </w:p>
    <w:p w:rsidR="00527C8C" w:rsidRPr="00446A08" w:rsidRDefault="00527C8C" w:rsidP="00F85B0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 xml:space="preserve">овлашћење за заступање, уколико јавном </w:t>
      </w:r>
      <w:r w:rsidRPr="00446A08">
        <w:rPr>
          <w:rFonts w:ascii="Times New Roman" w:eastAsia="Times New Roman" w:hAnsi="Times New Roman"/>
          <w:sz w:val="24"/>
          <w:szCs w:val="24"/>
          <w:lang w:val="sr-Cyrl-RS"/>
        </w:rPr>
        <w:t>отварању понуда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 xml:space="preserve"> не присуствује потенцијални купац лично (за физичка лица) или законски заступник (за правна лица). Овлашћење за заступање које </w:t>
      </w:r>
      <w:r w:rsidRPr="00446A08">
        <w:rPr>
          <w:rFonts w:ascii="Times New Roman" w:eastAsia="Times New Roman" w:hAnsi="Times New Roman"/>
          <w:sz w:val="24"/>
          <w:szCs w:val="24"/>
          <w:lang w:val="sr-Cyrl-RS"/>
        </w:rPr>
        <w:t xml:space="preserve">је 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издато од стране потенцијалног купца (физичког лица) мора бити оверено код јавног бележника (нотара). Овлашћење за заступање издато од стране потенцијалног купца (правног лица) мора бити печатирано и потписано од стране законског заступника привредног друштва, потенцијалног купца.</w:t>
      </w:r>
    </w:p>
    <w:p w:rsidR="00F85B07" w:rsidRPr="00446A08" w:rsidRDefault="00527C8C" w:rsidP="00527C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446A08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Стечајни управник неће разматрати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 xml:space="preserve"> усмене понуде, неблаговремене понуде - које пристигну након времена назначеног за достављање понуда, понуде које не садрже јасно одређен износ на 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>који понуда гласи, које се позивају на неку другу понуду, понуде дате под условом, понуде које се позивају на услове који нису предвиђени у продајној документацији и огласу, као ни понуде уз које није положен депозит у предвиђеном року и понуде које не садрже потписану изјаву о губитку права на повраћај депозита.</w:t>
      </w:r>
    </w:p>
    <w:p w:rsidR="00527C8C" w:rsidRPr="00446A08" w:rsidRDefault="00527C8C" w:rsidP="00527C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446A08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Јавно отварање понуда одржаће се </w:t>
      </w:r>
      <w:r w:rsidRPr="00446A0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дана </w:t>
      </w:r>
      <w:bookmarkStart w:id="0" w:name="_GoBack"/>
      <w:r w:rsidR="002F70CB" w:rsidRPr="006F07FA">
        <w:rPr>
          <w:rFonts w:ascii="Times New Roman" w:eastAsia="Times New Roman" w:hAnsi="Times New Roman"/>
          <w:b/>
          <w:sz w:val="24"/>
          <w:szCs w:val="24"/>
        </w:rPr>
        <w:t>15</w:t>
      </w:r>
      <w:r w:rsidRPr="006F07FA">
        <w:rPr>
          <w:rFonts w:ascii="Times New Roman" w:eastAsia="Times New Roman" w:hAnsi="Times New Roman"/>
          <w:b/>
          <w:sz w:val="24"/>
          <w:szCs w:val="24"/>
          <w:lang w:val="sr-Cyrl-CS"/>
        </w:rPr>
        <w:t>.0</w:t>
      </w:r>
      <w:r w:rsidR="002F70CB" w:rsidRPr="006F07FA">
        <w:rPr>
          <w:rFonts w:ascii="Times New Roman" w:eastAsia="Times New Roman" w:hAnsi="Times New Roman"/>
          <w:b/>
          <w:sz w:val="24"/>
          <w:szCs w:val="24"/>
          <w:lang w:val="sr-Latn-RS"/>
        </w:rPr>
        <w:t>3</w:t>
      </w:r>
      <w:bookmarkEnd w:id="0"/>
      <w:r w:rsidRPr="00446A08">
        <w:rPr>
          <w:rFonts w:ascii="Times New Roman" w:eastAsia="Times New Roman" w:hAnsi="Times New Roman"/>
          <w:b/>
          <w:sz w:val="24"/>
          <w:szCs w:val="24"/>
          <w:lang w:val="sr-Cyrl-CS"/>
        </w:rPr>
        <w:t>.2024. године, са почетком у 12:00 часова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446A08">
        <w:rPr>
          <w:rFonts w:ascii="Times New Roman" w:eastAsia="Times New Roman" w:hAnsi="Times New Roman"/>
          <w:b/>
          <w:sz w:val="24"/>
          <w:szCs w:val="24"/>
          <w:lang w:val="sr-Cyrl-CS"/>
        </w:rPr>
        <w:t>(15 минута по истеку времена за прикупљање понуда)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 xml:space="preserve"> на адреси: Нови Сад, </w:t>
      </w:r>
      <w:r w:rsidR="00395672" w:rsidRPr="00395672">
        <w:rPr>
          <w:rFonts w:ascii="Times New Roman" w:eastAsia="Times New Roman" w:hAnsi="Times New Roman"/>
          <w:sz w:val="24"/>
          <w:szCs w:val="24"/>
          <w:lang w:val="sr-Cyrl-CS"/>
        </w:rPr>
        <w:t>ул. Ћирпанова бр.7, стан 33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, у присуству комисије формиране одлуком стечајног управника.</w:t>
      </w:r>
    </w:p>
    <w:p w:rsidR="00527C8C" w:rsidRPr="00446A08" w:rsidRDefault="00527C8C" w:rsidP="00527C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Позивају се понуђачи, као и чланови одбора поверилаца да присуствују отварању понуда. Отварању понуда приступиће се и ако чланови одбора поверилаца или неко од понуђача не присуствује продаји. У року или након отварања писаних понуда није дозвољено побољшање понуда</w:t>
      </w:r>
      <w:r w:rsidR="00395672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527C8C" w:rsidRPr="00446A08" w:rsidRDefault="00527C8C" w:rsidP="00527C8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</w:pPr>
      <w:r w:rsidRPr="00446A08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Стечајни управник спроводи јавно прикупљање понуда тако што:</w:t>
      </w:r>
    </w:p>
    <w:p w:rsidR="00527C8C" w:rsidRPr="00446A08" w:rsidRDefault="00527C8C" w:rsidP="00527C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одлуком именује Комисију за спровођење поступка, која</w:t>
      </w:r>
    </w:p>
    <w:p w:rsidR="00527C8C" w:rsidRPr="00446A08" w:rsidRDefault="00527C8C" w:rsidP="00527C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чита правила у поступку јавног прикупљања понуда,</w:t>
      </w:r>
    </w:p>
    <w:p w:rsidR="00527C8C" w:rsidRPr="00446A08" w:rsidRDefault="00527C8C" w:rsidP="00527C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отвара достављене понуде,</w:t>
      </w:r>
    </w:p>
    <w:p w:rsidR="00527C8C" w:rsidRPr="00446A08" w:rsidRDefault="00527C8C" w:rsidP="00527C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рангира понуђаче према висини достављених понуда,</w:t>
      </w:r>
    </w:p>
    <w:p w:rsidR="00527C8C" w:rsidRPr="00446A08" w:rsidRDefault="00527C8C" w:rsidP="00527C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одржава ред на јавном прикупљању понуда,</w:t>
      </w:r>
    </w:p>
    <w:p w:rsidR="00527C8C" w:rsidRPr="00446A08" w:rsidRDefault="00527C8C" w:rsidP="00527C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проглашава најбољег понуђача за купца, уколико је највиша понуђена цена једнака или већа од 50% од процењене вредности предмета продаје,</w:t>
      </w:r>
    </w:p>
    <w:p w:rsidR="00527C8C" w:rsidRPr="00446A08" w:rsidRDefault="00527C8C" w:rsidP="00527C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доставља понуду најбољег понуђача одбору поверилаца и разлучним повериоцима на изјашњење, уколико је иста нижа од 50% од процењене вредности предмета продаје,</w:t>
      </w:r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сходно одедбама члана 136в Закона о стечају;</w:t>
      </w:r>
    </w:p>
    <w:p w:rsidR="00527C8C" w:rsidRPr="00446A08" w:rsidRDefault="00527C8C" w:rsidP="00527C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потписује записник.</w:t>
      </w:r>
    </w:p>
    <w:p w:rsidR="00527C8C" w:rsidRPr="00446A08" w:rsidRDefault="00527C8C" w:rsidP="00527C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527C8C" w:rsidRPr="00446A08" w:rsidRDefault="00527C8C" w:rsidP="00527C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446A08">
        <w:rPr>
          <w:rFonts w:ascii="Times New Roman" w:eastAsia="Times New Roman" w:hAnsi="Times New Roman"/>
          <w:sz w:val="24"/>
          <w:szCs w:val="24"/>
          <w:lang w:val="sr-Cyrl-RS"/>
        </w:rPr>
        <w:t>Имовина се продаје у виђеном правном и фактичком стању без права на накнадну рекламацију купца. Стечајни управник и стечајни дужник не гарантују да имовина која се продаје има одређене карактеристике у смислу квалитета, квантитета или да одговара сврси коју потенцијални понуђач предвиђа за ту имовину и не одговарају за недостатке које купац утврди по извршеној продаји.</w:t>
      </w:r>
    </w:p>
    <w:p w:rsidR="00527C8C" w:rsidRPr="00446A08" w:rsidRDefault="00527C8C" w:rsidP="00527C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446A08">
        <w:rPr>
          <w:rFonts w:ascii="Times New Roman" w:eastAsia="Times New Roman" w:hAnsi="Times New Roman"/>
          <w:sz w:val="24"/>
          <w:szCs w:val="24"/>
          <w:lang w:val="sr-Cyrl-RS"/>
        </w:rPr>
        <w:t>Имовина се може разгледати, након откупа продајне документације, а најкaсније 3 дана пре заказане продаје сваког радног дана  у времену од 10:00 до 14:00 часова, уз обавезну претходну најаву стечајном управнику.</w:t>
      </w:r>
    </w:p>
    <w:p w:rsidR="00527C8C" w:rsidRPr="00446A08" w:rsidRDefault="00527C8C" w:rsidP="00527C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6A08">
        <w:rPr>
          <w:rFonts w:ascii="Times New Roman" w:eastAsia="Times New Roman" w:hAnsi="Times New Roman"/>
          <w:sz w:val="24"/>
          <w:szCs w:val="24"/>
        </w:rPr>
        <w:t>И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 xml:space="preserve">мајући у виду да </w:t>
      </w:r>
      <w:r w:rsidR="00193602">
        <w:rPr>
          <w:rFonts w:ascii="Times New Roman" w:eastAsia="Times New Roman" w:hAnsi="Times New Roman"/>
          <w:sz w:val="24"/>
          <w:szCs w:val="24"/>
          <w:lang w:val="sr-Cyrl-CS"/>
        </w:rPr>
        <w:t>су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 xml:space="preserve"> предмет продаје </w:t>
      </w:r>
      <w:r w:rsidR="00193602">
        <w:rPr>
          <w:rFonts w:ascii="Times New Roman" w:eastAsia="Times New Roman" w:hAnsi="Times New Roman"/>
          <w:sz w:val="24"/>
          <w:szCs w:val="24"/>
          <w:lang w:val="sr-Cyrl-CS"/>
        </w:rPr>
        <w:t xml:space="preserve">седам имовинских </w:t>
      </w:r>
      <w:proofErr w:type="gramStart"/>
      <w:r w:rsidR="00193602">
        <w:rPr>
          <w:rFonts w:ascii="Times New Roman" w:eastAsia="Times New Roman" w:hAnsi="Times New Roman"/>
          <w:sz w:val="24"/>
          <w:szCs w:val="24"/>
          <w:lang w:val="sr-Cyrl-CS"/>
        </w:rPr>
        <w:t>целина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,  сходно</w:t>
      </w:r>
      <w:proofErr w:type="gramEnd"/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 xml:space="preserve"> одредбама 136в Закона о стечају и Националним стандардом бр. 5, стечајни управник ће прихватити највишу достављену понуду</w:t>
      </w:r>
      <w:r w:rsidR="00193602">
        <w:rPr>
          <w:rFonts w:ascii="Times New Roman" w:eastAsia="Times New Roman" w:hAnsi="Times New Roman"/>
          <w:sz w:val="24"/>
          <w:szCs w:val="24"/>
          <w:lang w:val="sr-Cyrl-CS"/>
        </w:rPr>
        <w:t xml:space="preserve"> за поједину целину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 xml:space="preserve">, уколико је иста једнака или већа од </w:t>
      </w:r>
      <w:r w:rsidRPr="00446A08">
        <w:rPr>
          <w:rFonts w:ascii="Times New Roman" w:eastAsia="Times New Roman" w:hAnsi="Times New Roman"/>
          <w:sz w:val="24"/>
          <w:szCs w:val="24"/>
        </w:rPr>
        <w:t>5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 xml:space="preserve">0% од процењене вредности предмета продаје. Ако највиша достављена понуда </w:t>
      </w:r>
      <w:r w:rsidR="00193602">
        <w:rPr>
          <w:rFonts w:ascii="Times New Roman" w:eastAsia="Times New Roman" w:hAnsi="Times New Roman"/>
          <w:sz w:val="24"/>
          <w:szCs w:val="24"/>
          <w:lang w:val="sr-Cyrl-CS"/>
        </w:rPr>
        <w:t xml:space="preserve">за поједину целину 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 xml:space="preserve">износи мање од </w:t>
      </w:r>
      <w:r w:rsidRPr="00446A08">
        <w:rPr>
          <w:rFonts w:ascii="Times New Roman" w:eastAsia="Times New Roman" w:hAnsi="Times New Roman"/>
          <w:sz w:val="24"/>
          <w:szCs w:val="24"/>
        </w:rPr>
        <w:t>5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0% од процењене вредности предмета продаје, стечајни управник је дужан да, пре прихватања такве понуде, добије сагласност одбора поверилаца и разлучних повериоцима, сходно одредбама члана 136в</w:t>
      </w:r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Закона о стечају и Националног стандара бр.5.</w:t>
      </w:r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27C8C" w:rsidRPr="00446A08" w:rsidRDefault="00527C8C" w:rsidP="00527C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У случају продаје стечајног дужника као правног лица, целокупне имовине стечајног дужника или имовинске целине стечајни управник поступа у складу са чланом 136 в, Закона о стечају, а уколико је достављена понуда нижа од 50% од процењене вредности, стечајни управник ће прибавити сагласност</w:t>
      </w:r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Одбор поверилаца, разлучн</w:t>
      </w:r>
      <w:r w:rsidR="00D55C63">
        <w:rPr>
          <w:rFonts w:ascii="Times New Roman" w:eastAsia="Times New Roman" w:hAnsi="Times New Roman"/>
          <w:sz w:val="24"/>
          <w:szCs w:val="24"/>
          <w:lang w:val="sr-Cyrl-CS"/>
        </w:rPr>
        <w:t>ог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, односно заложн</w:t>
      </w:r>
      <w:r w:rsidR="00D55C63">
        <w:rPr>
          <w:rFonts w:ascii="Times New Roman" w:eastAsia="Times New Roman" w:hAnsi="Times New Roman"/>
          <w:sz w:val="24"/>
          <w:szCs w:val="24"/>
          <w:lang w:val="sr-Cyrl-CS"/>
        </w:rPr>
        <w:t>ог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 xml:space="preserve"> повери</w:t>
      </w:r>
      <w:r w:rsidR="00D55C63">
        <w:rPr>
          <w:rFonts w:ascii="Times New Roman" w:eastAsia="Times New Roman" w:hAnsi="Times New Roman"/>
          <w:sz w:val="24"/>
          <w:szCs w:val="24"/>
          <w:lang w:val="sr-Cyrl-CS"/>
        </w:rPr>
        <w:t>оца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. Уколико Одбор поверилаца, разлучни, односно заложни поверилац у року од 15 дана од дана пријема захтева стечајном управнику не доставе одобрење у складу са чланом 136 в Закона о стечају, стечајни управник ће продају методом јавног прикупљања понуда прогласити неуспешним.</w:t>
      </w:r>
    </w:p>
    <w:p w:rsidR="00527C8C" w:rsidRPr="00446A08" w:rsidRDefault="00527C8C" w:rsidP="00527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A08">
        <w:rPr>
          <w:rFonts w:ascii="Times New Roman" w:hAnsi="Times New Roman"/>
          <w:sz w:val="24"/>
          <w:szCs w:val="24"/>
          <w:lang w:val="sr-Cyrl-RS"/>
        </w:rPr>
        <w:t>С</w:t>
      </w:r>
      <w:proofErr w:type="spellStart"/>
      <w:r w:rsidRPr="00446A08">
        <w:rPr>
          <w:rFonts w:ascii="Times New Roman" w:hAnsi="Times New Roman"/>
          <w:sz w:val="24"/>
          <w:szCs w:val="24"/>
        </w:rPr>
        <w:t>течајни</w:t>
      </w:r>
      <w:proofErr w:type="spellEnd"/>
      <w:r w:rsidRPr="00446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hAnsi="Times New Roman"/>
          <w:sz w:val="24"/>
          <w:szCs w:val="24"/>
        </w:rPr>
        <w:t>управник</w:t>
      </w:r>
      <w:proofErr w:type="spellEnd"/>
      <w:r w:rsidRPr="00446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hAnsi="Times New Roman"/>
          <w:sz w:val="24"/>
          <w:szCs w:val="24"/>
        </w:rPr>
        <w:t>сачињава</w:t>
      </w:r>
      <w:proofErr w:type="spellEnd"/>
      <w:r w:rsidRPr="00446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hAnsi="Times New Roman"/>
          <w:sz w:val="24"/>
          <w:szCs w:val="24"/>
        </w:rPr>
        <w:t>допунски</w:t>
      </w:r>
      <w:proofErr w:type="spellEnd"/>
      <w:r w:rsidRPr="00446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hAnsi="Times New Roman"/>
          <w:sz w:val="24"/>
          <w:szCs w:val="24"/>
        </w:rPr>
        <w:t>записник</w:t>
      </w:r>
      <w:proofErr w:type="spellEnd"/>
      <w:r w:rsidRPr="00446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hAnsi="Times New Roman"/>
          <w:sz w:val="24"/>
          <w:szCs w:val="24"/>
        </w:rPr>
        <w:t>наредног</w:t>
      </w:r>
      <w:proofErr w:type="spellEnd"/>
      <w:r w:rsidRPr="00446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hAnsi="Times New Roman"/>
          <w:sz w:val="24"/>
          <w:szCs w:val="24"/>
        </w:rPr>
        <w:t>радног</w:t>
      </w:r>
      <w:proofErr w:type="spellEnd"/>
      <w:r w:rsidRPr="00446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hAnsi="Times New Roman"/>
          <w:sz w:val="24"/>
          <w:szCs w:val="24"/>
        </w:rPr>
        <w:t>дана</w:t>
      </w:r>
      <w:proofErr w:type="spellEnd"/>
      <w:r w:rsidRPr="00446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hAnsi="Times New Roman"/>
          <w:sz w:val="24"/>
          <w:szCs w:val="24"/>
        </w:rPr>
        <w:t>након</w:t>
      </w:r>
      <w:proofErr w:type="spellEnd"/>
      <w:r w:rsidRPr="00446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hAnsi="Times New Roman"/>
          <w:sz w:val="24"/>
          <w:szCs w:val="24"/>
        </w:rPr>
        <w:t>прибављеног</w:t>
      </w:r>
      <w:proofErr w:type="spellEnd"/>
      <w:r w:rsidRPr="00446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hAnsi="Times New Roman"/>
          <w:sz w:val="24"/>
          <w:szCs w:val="24"/>
        </w:rPr>
        <w:t>последњег</w:t>
      </w:r>
      <w:proofErr w:type="spellEnd"/>
      <w:r w:rsidRPr="00446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hAnsi="Times New Roman"/>
          <w:sz w:val="24"/>
          <w:szCs w:val="24"/>
        </w:rPr>
        <w:t>потребног</w:t>
      </w:r>
      <w:proofErr w:type="spellEnd"/>
      <w:r w:rsidRPr="00446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hAnsi="Times New Roman"/>
          <w:sz w:val="24"/>
          <w:szCs w:val="24"/>
        </w:rPr>
        <w:t>изјашњења</w:t>
      </w:r>
      <w:proofErr w:type="spellEnd"/>
      <w:r w:rsidRPr="00446A0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446A08">
        <w:rPr>
          <w:rFonts w:ascii="Times New Roman" w:hAnsi="Times New Roman"/>
          <w:sz w:val="24"/>
          <w:szCs w:val="24"/>
        </w:rPr>
        <w:t>складу</w:t>
      </w:r>
      <w:proofErr w:type="spellEnd"/>
      <w:r w:rsidRPr="00446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hAnsi="Times New Roman"/>
          <w:sz w:val="24"/>
          <w:szCs w:val="24"/>
        </w:rPr>
        <w:t>са</w:t>
      </w:r>
      <w:proofErr w:type="spellEnd"/>
      <w:r w:rsidRPr="00446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hAnsi="Times New Roman"/>
          <w:sz w:val="24"/>
          <w:szCs w:val="24"/>
        </w:rPr>
        <w:t>Законом</w:t>
      </w:r>
      <w:proofErr w:type="spellEnd"/>
      <w:r w:rsidRPr="00446A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46A08">
        <w:rPr>
          <w:rFonts w:ascii="Times New Roman" w:hAnsi="Times New Roman"/>
          <w:sz w:val="24"/>
          <w:szCs w:val="24"/>
        </w:rPr>
        <w:t>односно</w:t>
      </w:r>
      <w:proofErr w:type="spellEnd"/>
      <w:r w:rsidRPr="00446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hAnsi="Times New Roman"/>
          <w:sz w:val="24"/>
          <w:szCs w:val="24"/>
        </w:rPr>
        <w:t>најкасније</w:t>
      </w:r>
      <w:proofErr w:type="spellEnd"/>
      <w:r w:rsidRPr="00446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hAnsi="Times New Roman"/>
          <w:sz w:val="24"/>
          <w:szCs w:val="24"/>
        </w:rPr>
        <w:t>петог</w:t>
      </w:r>
      <w:proofErr w:type="spellEnd"/>
      <w:r w:rsidRPr="00446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hAnsi="Times New Roman"/>
          <w:sz w:val="24"/>
          <w:szCs w:val="24"/>
        </w:rPr>
        <w:t>радног</w:t>
      </w:r>
      <w:proofErr w:type="spellEnd"/>
      <w:r w:rsidRPr="00446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hAnsi="Times New Roman"/>
          <w:sz w:val="24"/>
          <w:szCs w:val="24"/>
        </w:rPr>
        <w:t>дана</w:t>
      </w:r>
      <w:proofErr w:type="spellEnd"/>
      <w:r w:rsidRPr="00446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hAnsi="Times New Roman"/>
          <w:sz w:val="24"/>
          <w:szCs w:val="24"/>
        </w:rPr>
        <w:t>након</w:t>
      </w:r>
      <w:proofErr w:type="spellEnd"/>
      <w:r w:rsidRPr="00446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hAnsi="Times New Roman"/>
          <w:sz w:val="24"/>
          <w:szCs w:val="24"/>
        </w:rPr>
        <w:t>протека</w:t>
      </w:r>
      <w:proofErr w:type="spellEnd"/>
      <w:r w:rsidRPr="00446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hAnsi="Times New Roman"/>
          <w:sz w:val="24"/>
          <w:szCs w:val="24"/>
        </w:rPr>
        <w:t>последњег</w:t>
      </w:r>
      <w:proofErr w:type="spellEnd"/>
      <w:r w:rsidRPr="00446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hAnsi="Times New Roman"/>
          <w:sz w:val="24"/>
          <w:szCs w:val="24"/>
        </w:rPr>
        <w:t>дана</w:t>
      </w:r>
      <w:proofErr w:type="spellEnd"/>
      <w:r w:rsidRPr="00446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hAnsi="Times New Roman"/>
          <w:sz w:val="24"/>
          <w:szCs w:val="24"/>
        </w:rPr>
        <w:t>рока</w:t>
      </w:r>
      <w:proofErr w:type="spellEnd"/>
      <w:r w:rsidRPr="00446A0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446A08">
        <w:rPr>
          <w:rFonts w:ascii="Times New Roman" w:hAnsi="Times New Roman"/>
          <w:sz w:val="24"/>
          <w:szCs w:val="24"/>
        </w:rPr>
        <w:t>ком</w:t>
      </w:r>
      <w:proofErr w:type="spellEnd"/>
      <w:r w:rsidRPr="00446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hAnsi="Times New Roman"/>
          <w:sz w:val="24"/>
          <w:szCs w:val="24"/>
        </w:rPr>
        <w:t>се</w:t>
      </w:r>
      <w:proofErr w:type="spellEnd"/>
      <w:r w:rsidRPr="00446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hAnsi="Times New Roman"/>
          <w:sz w:val="24"/>
          <w:szCs w:val="24"/>
        </w:rPr>
        <w:t>стечајном</w:t>
      </w:r>
      <w:proofErr w:type="spellEnd"/>
      <w:r w:rsidRPr="00446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hAnsi="Times New Roman"/>
          <w:sz w:val="24"/>
          <w:szCs w:val="24"/>
        </w:rPr>
        <w:t>управнику</w:t>
      </w:r>
      <w:proofErr w:type="spellEnd"/>
      <w:r w:rsidRPr="00446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hAnsi="Times New Roman"/>
          <w:sz w:val="24"/>
          <w:szCs w:val="24"/>
        </w:rPr>
        <w:t>доставља</w:t>
      </w:r>
      <w:proofErr w:type="spellEnd"/>
      <w:r w:rsidRPr="00446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hAnsi="Times New Roman"/>
          <w:sz w:val="24"/>
          <w:szCs w:val="24"/>
        </w:rPr>
        <w:t>такво</w:t>
      </w:r>
      <w:proofErr w:type="spellEnd"/>
      <w:r w:rsidRPr="00446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hAnsi="Times New Roman"/>
          <w:sz w:val="24"/>
          <w:szCs w:val="24"/>
        </w:rPr>
        <w:t>изјашњење</w:t>
      </w:r>
      <w:proofErr w:type="spellEnd"/>
      <w:r w:rsidRPr="00446A08">
        <w:rPr>
          <w:rFonts w:ascii="Times New Roman" w:hAnsi="Times New Roman"/>
          <w:sz w:val="24"/>
          <w:szCs w:val="24"/>
        </w:rPr>
        <w:t>.</w:t>
      </w:r>
    </w:p>
    <w:p w:rsidR="00527C8C" w:rsidRPr="00446A08" w:rsidRDefault="00527C8C" w:rsidP="00527C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Купопродајни уговор се потписује у року од 5 радних дана од дана проглашења купца, под условом да је депозит који је обезбеђен гаранцијом уплаћен на рачун стечајног дужника и да највиша достављена понуда износи више од 50% од процењене вредности предмета продаје</w:t>
      </w:r>
      <w:r w:rsidRPr="00446A08">
        <w:rPr>
          <w:rFonts w:ascii="Times New Roman" w:eastAsia="Times New Roman" w:hAnsi="Times New Roman"/>
          <w:sz w:val="24"/>
          <w:szCs w:val="24"/>
          <w:lang w:val="sr-Cyrl-BA"/>
        </w:rPr>
        <w:t>.</w:t>
      </w:r>
      <w:r w:rsidR="00BB4286">
        <w:rPr>
          <w:rFonts w:ascii="Times New Roman" w:eastAsia="Times New Roman" w:hAnsi="Times New Roman"/>
          <w:sz w:val="24"/>
          <w:szCs w:val="24"/>
          <w:lang w:val="sr-Cyrl-BA"/>
        </w:rPr>
        <w:t xml:space="preserve"> 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 xml:space="preserve">Уколико је понуђена цена нижа од 50% процењене вредности предметене имовине стечајног 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 xml:space="preserve">дужника, купопродајни уговор се потписује у року од 5 радна дана од дана сачињавања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допунског</w:t>
      </w:r>
      <w:proofErr w:type="spellEnd"/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записника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, а након добијања сагласности од стране Одбора поверилаца</w:t>
      </w:r>
      <w:r w:rsidR="00D55C63">
        <w:rPr>
          <w:rFonts w:ascii="Times New Roman" w:eastAsia="Times New Roman" w:hAnsi="Times New Roman"/>
          <w:sz w:val="24"/>
          <w:szCs w:val="24"/>
          <w:lang w:val="sr-Cyrl-CS"/>
        </w:rPr>
        <w:t>,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446A08">
        <w:rPr>
          <w:rFonts w:ascii="Times New Roman" w:eastAsia="Times New Roman" w:hAnsi="Times New Roman"/>
          <w:sz w:val="24"/>
          <w:szCs w:val="24"/>
        </w:rPr>
        <w:t>р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азлучних поверилаца</w:t>
      </w:r>
      <w:r w:rsidR="00D55C63" w:rsidRPr="00D55C6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D55C63" w:rsidRPr="00446A08">
        <w:rPr>
          <w:rFonts w:ascii="Times New Roman" w:eastAsia="Times New Roman" w:hAnsi="Times New Roman"/>
          <w:sz w:val="24"/>
          <w:szCs w:val="24"/>
          <w:lang w:val="sr-Cyrl-CS"/>
        </w:rPr>
        <w:t>и</w:t>
      </w:r>
      <w:r w:rsidR="00D55C63">
        <w:rPr>
          <w:rFonts w:ascii="Times New Roman" w:eastAsia="Times New Roman" w:hAnsi="Times New Roman"/>
          <w:sz w:val="24"/>
          <w:szCs w:val="24"/>
          <w:lang w:val="sr-Cyrl-CS"/>
        </w:rPr>
        <w:t xml:space="preserve"> заложних поверилаца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, под условом да је депозит који је обезбеђен гаранцијом уплаћен на рачун стечајног дужника.</w:t>
      </w:r>
    </w:p>
    <w:p w:rsidR="00527C8C" w:rsidRPr="00446A08" w:rsidRDefault="00527C8C" w:rsidP="00527C8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 xml:space="preserve">Проглашени Купац је дужан да уплати преостали износ купопродајне цене </w:t>
      </w:r>
      <w:r w:rsidRPr="00446A08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у року од 1</w:t>
      </w:r>
      <w:r w:rsidR="00BB4286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0</w:t>
      </w:r>
      <w:r w:rsidRPr="00446A08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дана од дана потписивања купопродајног уговора.</w:t>
      </w:r>
    </w:p>
    <w:p w:rsidR="00527C8C" w:rsidRPr="00446A08" w:rsidRDefault="00527C8C" w:rsidP="00527C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Свако лице које је стекло право на учешће, у складу са условима прописаним овим огласом, губи право на депозит у складу са Изјавом о губитку права на враћање депозита.</w:t>
      </w:r>
    </w:p>
    <w:p w:rsidR="00527C8C" w:rsidRPr="00446A08" w:rsidRDefault="00527C8C" w:rsidP="00527C8C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446A08">
        <w:rPr>
          <w:rFonts w:ascii="Times New Roman" w:eastAsia="Times New Roman" w:hAnsi="Times New Roman"/>
          <w:noProof/>
          <w:sz w:val="24"/>
          <w:szCs w:val="24"/>
          <w:lang w:val="sr-Cyrl-RS"/>
        </w:rPr>
        <w:t>Понуђач губи право на повраћај депозита уколико:</w:t>
      </w:r>
    </w:p>
    <w:p w:rsidR="00527C8C" w:rsidRPr="00446A08" w:rsidRDefault="00527C8C" w:rsidP="00527C8C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446A08">
        <w:rPr>
          <w:rFonts w:ascii="Times New Roman" w:eastAsia="Times New Roman" w:hAnsi="Times New Roman"/>
          <w:noProof/>
          <w:sz w:val="24"/>
          <w:szCs w:val="24"/>
          <w:lang w:val="sr-Cyrl-RS"/>
        </w:rPr>
        <w:t>не поднесе понуду или поднесе понуду која не садржи обавезне елементе, или</w:t>
      </w:r>
    </w:p>
    <w:p w:rsidR="00527C8C" w:rsidRPr="00446A08" w:rsidRDefault="00527C8C" w:rsidP="00527C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446A08">
        <w:rPr>
          <w:rFonts w:ascii="Times New Roman" w:eastAsia="Times New Roman" w:hAnsi="Times New Roman"/>
          <w:noProof/>
          <w:sz w:val="24"/>
          <w:szCs w:val="24"/>
          <w:lang w:val="sr-Cyrl-RS"/>
        </w:rPr>
        <w:t>не потпише купопордајни уговор, или</w:t>
      </w:r>
    </w:p>
    <w:p w:rsidR="00527C8C" w:rsidRPr="00446A08" w:rsidRDefault="00527C8C" w:rsidP="00F85B0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446A08">
        <w:rPr>
          <w:rFonts w:ascii="Times New Roman" w:eastAsia="Times New Roman" w:hAnsi="Times New Roman"/>
          <w:noProof/>
          <w:sz w:val="24"/>
          <w:szCs w:val="24"/>
          <w:lang w:val="sr-Cyrl-RS"/>
        </w:rPr>
        <w:t>буде проглашен купцем, а не уплати купопродајну цену у предвиђеном року и на пропосани начин.</w:t>
      </w:r>
    </w:p>
    <w:p w:rsidR="00527C8C" w:rsidRPr="00446A08" w:rsidRDefault="00527C8C" w:rsidP="00527C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 xml:space="preserve">Ако проглашени купац не потпише купопродајни уговор или не уплати купопродајну цену у прописаним роковима и на прописан начин, као и у свим другим случајевима предвиђеним Изјавом о губитку права на враћање депозита, губи право на повраћај депозита. </w:t>
      </w:r>
    </w:p>
    <w:p w:rsidR="00527C8C" w:rsidRPr="00446A08" w:rsidRDefault="00527C8C" w:rsidP="00527C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Стечајни управник ће вратити положени депозит сваком понуђачу чија понуда не буде прихваћена, односно чија понуда није најбоље рангирана, у року од три радна дана од дана одржавања јавног прикупљања понуда.</w:t>
      </w:r>
      <w:r w:rsidRPr="00446A0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 xml:space="preserve">Депозит се не враћа </w:t>
      </w:r>
      <w:proofErr w:type="spellStart"/>
      <w:r w:rsidRPr="00446A08">
        <w:rPr>
          <w:rFonts w:ascii="Times New Roman" w:eastAsia="Times New Roman" w:hAnsi="Times New Roman"/>
          <w:sz w:val="24"/>
          <w:szCs w:val="24"/>
        </w:rPr>
        <w:t>понуђачима</w:t>
      </w:r>
      <w:proofErr w:type="spellEnd"/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 xml:space="preserve"> који су изгубили право на повраћај депозита у складу са Изјавом о губитку права на повраћај депозита.</w:t>
      </w:r>
    </w:p>
    <w:p w:rsidR="00527C8C" w:rsidRPr="00446A08" w:rsidRDefault="00527C8C" w:rsidP="00527C8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bookmarkStart w:id="1" w:name="_Hlk28345380"/>
      <w:r w:rsidRPr="00446A08">
        <w:rPr>
          <w:rFonts w:ascii="Times New Roman" w:eastAsia="Times New Roman" w:hAnsi="Times New Roman"/>
          <w:bCs/>
          <w:sz w:val="24"/>
          <w:szCs w:val="24"/>
          <w:lang w:val="sr-Cyrl-CS"/>
        </w:rPr>
        <w:t>Сви порези и трошкови се додају на постигнуту купопродајну цену и падају на терет Купца.</w:t>
      </w:r>
      <w:bookmarkEnd w:id="1"/>
    </w:p>
    <w:p w:rsidR="00527C8C" w:rsidRPr="00446A08" w:rsidRDefault="00527C8C" w:rsidP="00527C8C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446A08">
        <w:rPr>
          <w:rFonts w:ascii="Times New Roman" w:eastAsia="Times New Roman" w:hAnsi="Times New Roman"/>
          <w:b/>
          <w:sz w:val="24"/>
          <w:szCs w:val="24"/>
          <w:lang w:val="sr-Cyrl-CS"/>
        </w:rPr>
        <w:t>Овлашћено лице: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 xml:space="preserve"> стечајни управник </w:t>
      </w:r>
      <w:r w:rsidR="00BB4286">
        <w:rPr>
          <w:rFonts w:ascii="Times New Roman" w:eastAsia="Times New Roman" w:hAnsi="Times New Roman"/>
          <w:sz w:val="24"/>
          <w:szCs w:val="24"/>
          <w:lang w:val="sr-Cyrl-CS"/>
        </w:rPr>
        <w:t>Јадранко Протић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, контакт  тел. 06</w:t>
      </w:r>
      <w:r w:rsidR="00BB4286">
        <w:rPr>
          <w:rFonts w:ascii="Times New Roman" w:eastAsia="Times New Roman" w:hAnsi="Times New Roman"/>
          <w:sz w:val="24"/>
          <w:szCs w:val="24"/>
          <w:lang w:val="sr-Cyrl-CS"/>
        </w:rPr>
        <w:t>3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/5</w:t>
      </w:r>
      <w:r w:rsidR="00BB4286">
        <w:rPr>
          <w:rFonts w:ascii="Times New Roman" w:eastAsia="Times New Roman" w:hAnsi="Times New Roman"/>
          <w:sz w:val="24"/>
          <w:szCs w:val="24"/>
          <w:lang w:val="sr-Cyrl-CS"/>
        </w:rPr>
        <w:t>21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 w:rsidR="00BB4286">
        <w:rPr>
          <w:rFonts w:ascii="Times New Roman" w:eastAsia="Times New Roman" w:hAnsi="Times New Roman"/>
          <w:sz w:val="24"/>
          <w:szCs w:val="24"/>
          <w:lang w:val="sr-Cyrl-CS"/>
        </w:rPr>
        <w:t>310</w:t>
      </w:r>
      <w:r w:rsidRPr="00446A08">
        <w:rPr>
          <w:rFonts w:ascii="Times New Roman" w:eastAsia="Times New Roman" w:hAnsi="Times New Roman"/>
          <w:sz w:val="24"/>
          <w:szCs w:val="24"/>
          <w:lang w:val="sr-Cyrl-CS"/>
        </w:rPr>
        <w:t xml:space="preserve">.  </w:t>
      </w:r>
    </w:p>
    <w:p w:rsidR="00527C8C" w:rsidRPr="00446A08" w:rsidRDefault="00527C8C" w:rsidP="008427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527C8C" w:rsidRPr="00446A08" w:rsidRDefault="00527C8C" w:rsidP="008427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527C8C" w:rsidRPr="00446A08" w:rsidRDefault="00527C8C" w:rsidP="008427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527C8C" w:rsidRPr="00446A08" w:rsidRDefault="00527C8C" w:rsidP="008427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527C8C" w:rsidRPr="00446A08" w:rsidRDefault="00527C8C" w:rsidP="008427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527C8C" w:rsidRPr="00446A08" w:rsidRDefault="00527C8C" w:rsidP="008427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527C8C" w:rsidRPr="00446A08" w:rsidRDefault="00527C8C" w:rsidP="008427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E246AC" w:rsidRPr="00446A08" w:rsidRDefault="00E246AC">
      <w:pPr>
        <w:rPr>
          <w:rFonts w:ascii="Times New Roman" w:hAnsi="Times New Roman"/>
          <w:sz w:val="24"/>
          <w:szCs w:val="24"/>
        </w:rPr>
      </w:pPr>
    </w:p>
    <w:sectPr w:rsidR="00E246AC" w:rsidRPr="00446A08" w:rsidSect="009E5A0A">
      <w:pgSz w:w="12240" w:h="15840"/>
      <w:pgMar w:top="540" w:right="990" w:bottom="90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16F"/>
    <w:multiLevelType w:val="hybridMultilevel"/>
    <w:tmpl w:val="05CCD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47E91"/>
    <w:multiLevelType w:val="hybridMultilevel"/>
    <w:tmpl w:val="749019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108C4"/>
    <w:multiLevelType w:val="hybridMultilevel"/>
    <w:tmpl w:val="D27439F4"/>
    <w:lvl w:ilvl="0" w:tplc="CDEEA7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5169"/>
    <w:multiLevelType w:val="hybridMultilevel"/>
    <w:tmpl w:val="D82E1F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B067E"/>
    <w:multiLevelType w:val="hybridMultilevel"/>
    <w:tmpl w:val="23827C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35470"/>
    <w:multiLevelType w:val="hybridMultilevel"/>
    <w:tmpl w:val="B4FEE6E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51CED"/>
    <w:multiLevelType w:val="hybridMultilevel"/>
    <w:tmpl w:val="BC26AFF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9A"/>
    <w:rsid w:val="00065FFB"/>
    <w:rsid w:val="000A2036"/>
    <w:rsid w:val="000E38E2"/>
    <w:rsid w:val="0010373E"/>
    <w:rsid w:val="001865F8"/>
    <w:rsid w:val="00193602"/>
    <w:rsid w:val="0019750C"/>
    <w:rsid w:val="001F7E9A"/>
    <w:rsid w:val="002018F3"/>
    <w:rsid w:val="00260BD7"/>
    <w:rsid w:val="00296319"/>
    <w:rsid w:val="002A6BCA"/>
    <w:rsid w:val="002C3D83"/>
    <w:rsid w:val="002F70CB"/>
    <w:rsid w:val="00395672"/>
    <w:rsid w:val="00446A08"/>
    <w:rsid w:val="004A07B6"/>
    <w:rsid w:val="00524536"/>
    <w:rsid w:val="00527C8C"/>
    <w:rsid w:val="005C55DD"/>
    <w:rsid w:val="00626053"/>
    <w:rsid w:val="006F07FA"/>
    <w:rsid w:val="008427F7"/>
    <w:rsid w:val="008E1D3A"/>
    <w:rsid w:val="008F77AA"/>
    <w:rsid w:val="009843CA"/>
    <w:rsid w:val="009E59BB"/>
    <w:rsid w:val="009E5A0A"/>
    <w:rsid w:val="009F0991"/>
    <w:rsid w:val="00A71ECB"/>
    <w:rsid w:val="00AE6E59"/>
    <w:rsid w:val="00B75B67"/>
    <w:rsid w:val="00BB1F77"/>
    <w:rsid w:val="00BB4286"/>
    <w:rsid w:val="00C73A3B"/>
    <w:rsid w:val="00CA0DD0"/>
    <w:rsid w:val="00CC31A2"/>
    <w:rsid w:val="00CC460F"/>
    <w:rsid w:val="00D23A83"/>
    <w:rsid w:val="00D27DF6"/>
    <w:rsid w:val="00D55C63"/>
    <w:rsid w:val="00DA6A5C"/>
    <w:rsid w:val="00E246AC"/>
    <w:rsid w:val="00E84DB5"/>
    <w:rsid w:val="00E91F96"/>
    <w:rsid w:val="00E964BD"/>
    <w:rsid w:val="00F117DB"/>
    <w:rsid w:val="00F823F2"/>
    <w:rsid w:val="00F8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004800-3942-4596-83C7-06BBE8D6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E9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5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5</Pages>
  <Words>2165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 Miletić</dc:creator>
  <cp:lastModifiedBy>jadranko</cp:lastModifiedBy>
  <cp:revision>15</cp:revision>
  <cp:lastPrinted>2023-07-18T13:22:00Z</cp:lastPrinted>
  <dcterms:created xsi:type="dcterms:W3CDTF">2024-01-15T09:56:00Z</dcterms:created>
  <dcterms:modified xsi:type="dcterms:W3CDTF">2024-02-09T08:47:00Z</dcterms:modified>
</cp:coreProperties>
</file>